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8F" w:rsidRPr="00E02677" w:rsidRDefault="00165F6F" w:rsidP="00165F6F">
      <w:pPr>
        <w:spacing w:before="120" w:after="120"/>
        <w:jc w:val="right"/>
        <w:rPr>
          <w:rFonts w:asciiTheme="majorHAnsi" w:hAnsiTheme="majorHAnsi" w:cs="Arial"/>
          <w:sz w:val="24"/>
          <w:szCs w:val="24"/>
        </w:rPr>
      </w:pPr>
      <w:r>
        <w:rPr>
          <w:noProof/>
          <w:lang w:eastAsia="en-AU"/>
        </w:rPr>
        <w:drawing>
          <wp:inline distT="0" distB="0" distL="0" distR="0" wp14:anchorId="06F09BC5" wp14:editId="76CF6FB4">
            <wp:extent cx="2592000" cy="1440000"/>
            <wp:effectExtent l="0" t="0" r="0" b="8255"/>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592000" cy="1440000"/>
                    </a:xfrm>
                    <a:prstGeom prst="rect">
                      <a:avLst/>
                    </a:prstGeom>
                  </pic:spPr>
                </pic:pic>
              </a:graphicData>
            </a:graphic>
          </wp:inline>
        </w:drawing>
      </w:r>
    </w:p>
    <w:p w:rsidR="00FB22E9" w:rsidRDefault="00FB22E9">
      <w:pPr>
        <w:spacing w:after="0" w:line="240" w:lineRule="auto"/>
        <w:rPr>
          <w:rFonts w:ascii="Arial" w:hAnsi="Arial" w:cs="Arial"/>
          <w:szCs w:val="24"/>
        </w:rPr>
      </w:pPr>
    </w:p>
    <w:p w:rsidR="00FB22E9" w:rsidRDefault="00FB22E9">
      <w:pPr>
        <w:spacing w:after="0" w:line="240" w:lineRule="auto"/>
        <w:rPr>
          <w:rFonts w:ascii="Arial" w:hAnsi="Arial" w:cs="Arial"/>
          <w:szCs w:val="24"/>
        </w:rPr>
      </w:pPr>
    </w:p>
    <w:p w:rsidR="00880078" w:rsidRDefault="00880078" w:rsidP="00FB22E9">
      <w:pPr>
        <w:rPr>
          <w:rFonts w:cs="Arial"/>
          <w:b/>
          <w:color w:val="1F497D" w:themeColor="text2"/>
          <w:sz w:val="32"/>
          <w:szCs w:val="32"/>
        </w:rPr>
      </w:pPr>
    </w:p>
    <w:p w:rsidR="00880078" w:rsidRDefault="00880078" w:rsidP="00FB22E9">
      <w:pPr>
        <w:rPr>
          <w:rFonts w:cs="Arial"/>
          <w:b/>
          <w:color w:val="1F497D" w:themeColor="text2"/>
          <w:sz w:val="32"/>
          <w:szCs w:val="32"/>
        </w:rPr>
      </w:pPr>
    </w:p>
    <w:p w:rsidR="00F14C5B" w:rsidRDefault="00F14C5B" w:rsidP="00880078">
      <w:pPr>
        <w:spacing w:after="0"/>
        <w:rPr>
          <w:rFonts w:cs="Arial"/>
          <w:b/>
          <w:color w:val="1F497D" w:themeColor="text2"/>
          <w:sz w:val="36"/>
          <w:szCs w:val="36"/>
        </w:rPr>
      </w:pPr>
    </w:p>
    <w:p w:rsidR="00F14C5B" w:rsidRDefault="00F14C5B" w:rsidP="00880078">
      <w:pPr>
        <w:spacing w:after="0"/>
        <w:rPr>
          <w:rFonts w:cs="Arial"/>
          <w:b/>
          <w:color w:val="1F497D" w:themeColor="text2"/>
          <w:sz w:val="36"/>
          <w:szCs w:val="36"/>
        </w:rPr>
      </w:pPr>
    </w:p>
    <w:p w:rsidR="00FB22E9" w:rsidRPr="00426124" w:rsidRDefault="00FB22E9" w:rsidP="00880078">
      <w:pPr>
        <w:spacing w:after="0"/>
        <w:rPr>
          <w:rFonts w:ascii="Arial" w:hAnsi="Arial" w:cs="Arial"/>
          <w:b/>
          <w:color w:val="1F497D" w:themeColor="text2"/>
          <w:sz w:val="36"/>
          <w:szCs w:val="36"/>
        </w:rPr>
      </w:pPr>
      <w:r w:rsidRPr="00426124">
        <w:rPr>
          <w:rFonts w:ascii="Arial" w:hAnsi="Arial" w:cs="Arial"/>
          <w:b/>
          <w:color w:val="1F497D" w:themeColor="text2"/>
          <w:sz w:val="36"/>
          <w:szCs w:val="36"/>
        </w:rPr>
        <w:t>Submission</w:t>
      </w:r>
    </w:p>
    <w:p w:rsidR="00FB22E9" w:rsidRPr="00034E7D" w:rsidRDefault="00FB22E9" w:rsidP="00FB22E9">
      <w:pPr>
        <w:pBdr>
          <w:bottom w:val="single" w:sz="24" w:space="1" w:color="auto"/>
        </w:pBdr>
        <w:rPr>
          <w:rFonts w:ascii="Arial" w:hAnsi="Arial" w:cs="Arial"/>
          <w:sz w:val="32"/>
          <w:szCs w:val="32"/>
        </w:rPr>
      </w:pPr>
    </w:p>
    <w:p w:rsidR="00FB22E9" w:rsidRPr="00034E7D" w:rsidRDefault="00FB22E9" w:rsidP="00FB22E9">
      <w:pPr>
        <w:spacing w:before="120" w:after="360" w:line="240" w:lineRule="auto"/>
        <w:rPr>
          <w:rFonts w:ascii="Arial" w:hAnsi="Arial" w:cs="Arial"/>
          <w:color w:val="1F497D" w:themeColor="text2"/>
          <w:sz w:val="32"/>
          <w:szCs w:val="32"/>
        </w:rPr>
      </w:pPr>
      <w:r w:rsidRPr="00034E7D">
        <w:rPr>
          <w:rFonts w:ascii="Arial" w:hAnsi="Arial" w:cs="Arial"/>
          <w:color w:val="1F497D" w:themeColor="text2"/>
          <w:sz w:val="32"/>
          <w:szCs w:val="32"/>
        </w:rPr>
        <w:t>Senate Community Affairs References Committee</w:t>
      </w:r>
    </w:p>
    <w:p w:rsidR="00FB22E9" w:rsidRPr="00034E7D" w:rsidRDefault="00FB22E9" w:rsidP="00FB22E9">
      <w:pPr>
        <w:spacing w:line="240" w:lineRule="auto"/>
        <w:rPr>
          <w:rFonts w:ascii="Arial" w:hAnsi="Arial" w:cs="Arial"/>
          <w:color w:val="1F497D" w:themeColor="text2"/>
          <w:sz w:val="32"/>
          <w:szCs w:val="32"/>
        </w:rPr>
      </w:pPr>
      <w:r w:rsidRPr="00034E7D">
        <w:rPr>
          <w:rFonts w:ascii="Arial" w:hAnsi="Arial" w:cs="Arial"/>
          <w:color w:val="1F497D" w:themeColor="text2"/>
          <w:sz w:val="32"/>
          <w:szCs w:val="32"/>
        </w:rPr>
        <w:t xml:space="preserve">Inquiry into Indefinite Detention of People with Cognitive and Psychiatric Impairment in Australia </w:t>
      </w:r>
    </w:p>
    <w:p w:rsidR="00FB22E9" w:rsidRPr="00034E7D" w:rsidRDefault="00FB22E9" w:rsidP="00880078">
      <w:pPr>
        <w:pBdr>
          <w:bottom w:val="single" w:sz="24" w:space="1" w:color="auto"/>
        </w:pBdr>
        <w:spacing w:after="0"/>
        <w:rPr>
          <w:rFonts w:ascii="Arial" w:hAnsi="Arial" w:cs="Arial"/>
          <w:sz w:val="32"/>
          <w:szCs w:val="32"/>
        </w:rPr>
      </w:pPr>
    </w:p>
    <w:p w:rsidR="00FB22E9" w:rsidRPr="00034E7D" w:rsidRDefault="00FB22E9" w:rsidP="00FB22E9">
      <w:pPr>
        <w:pStyle w:val="Footer"/>
        <w:rPr>
          <w:rFonts w:ascii="Arial" w:hAnsi="Arial" w:cs="Arial"/>
          <w:sz w:val="32"/>
          <w:szCs w:val="32"/>
        </w:rPr>
      </w:pPr>
    </w:p>
    <w:p w:rsidR="00FB22E9" w:rsidRPr="00034E7D" w:rsidRDefault="00FB22E9" w:rsidP="00FB22E9">
      <w:pPr>
        <w:pStyle w:val="Footer"/>
        <w:rPr>
          <w:rFonts w:ascii="Arial" w:hAnsi="Arial" w:cs="Arial"/>
          <w:b/>
          <w:color w:val="1F497D" w:themeColor="text2"/>
          <w:sz w:val="32"/>
          <w:szCs w:val="32"/>
        </w:rPr>
      </w:pPr>
      <w:r w:rsidRPr="00034E7D">
        <w:rPr>
          <w:rFonts w:ascii="Arial" w:hAnsi="Arial" w:cs="Arial"/>
          <w:b/>
          <w:color w:val="1F497D" w:themeColor="text2"/>
          <w:sz w:val="32"/>
          <w:szCs w:val="32"/>
        </w:rPr>
        <w:t>April 2016</w:t>
      </w:r>
    </w:p>
    <w:p w:rsidR="00FB22E9" w:rsidRPr="00034E7D" w:rsidRDefault="00FB22E9" w:rsidP="00FB22E9">
      <w:pPr>
        <w:pStyle w:val="Footer"/>
        <w:rPr>
          <w:rFonts w:ascii="Arial" w:hAnsi="Arial" w:cs="Arial"/>
          <w:b/>
          <w:color w:val="1F497D" w:themeColor="text2"/>
          <w:sz w:val="24"/>
          <w:szCs w:val="24"/>
        </w:rPr>
      </w:pPr>
    </w:p>
    <w:p w:rsidR="00FB22E9" w:rsidRPr="0054190C" w:rsidRDefault="00FB22E9" w:rsidP="00FB22E9">
      <w:pPr>
        <w:pStyle w:val="Footer"/>
        <w:rPr>
          <w:rFonts w:cs="Arial"/>
          <w:b/>
          <w:color w:val="1F497D" w:themeColor="text2"/>
          <w:sz w:val="24"/>
          <w:szCs w:val="24"/>
        </w:rPr>
      </w:pPr>
    </w:p>
    <w:p w:rsidR="00FB22E9" w:rsidRPr="0054190C" w:rsidRDefault="00FB22E9" w:rsidP="00FB22E9">
      <w:pPr>
        <w:pStyle w:val="Footer"/>
        <w:rPr>
          <w:rFonts w:cs="Arial"/>
          <w:b/>
          <w:color w:val="1F497D" w:themeColor="text2"/>
          <w:sz w:val="24"/>
          <w:szCs w:val="24"/>
        </w:rPr>
      </w:pPr>
    </w:p>
    <w:p w:rsidR="00FB22E9" w:rsidRDefault="00FB22E9" w:rsidP="00FB22E9">
      <w:pPr>
        <w:pStyle w:val="NoSpacing"/>
        <w:rPr>
          <w:rFonts w:asciiTheme="minorHAnsi" w:hAnsiTheme="minorHAnsi"/>
        </w:rPr>
      </w:pPr>
    </w:p>
    <w:p w:rsidR="00FB22E9" w:rsidRDefault="00FB22E9" w:rsidP="00FB22E9">
      <w:pPr>
        <w:pStyle w:val="NoSpacing"/>
        <w:rPr>
          <w:rFonts w:asciiTheme="minorHAnsi" w:hAnsiTheme="minorHAnsi"/>
        </w:rPr>
      </w:pPr>
    </w:p>
    <w:p w:rsidR="00FB22E9" w:rsidRPr="0054190C" w:rsidRDefault="00FB22E9" w:rsidP="00FB22E9">
      <w:pPr>
        <w:pStyle w:val="NoSpacing"/>
        <w:rPr>
          <w:rFonts w:asciiTheme="minorHAnsi" w:hAnsiTheme="minorHAnsi"/>
        </w:rPr>
      </w:pPr>
    </w:p>
    <w:p w:rsidR="00880078" w:rsidRDefault="00880078">
      <w:pPr>
        <w:spacing w:after="0" w:line="240" w:lineRule="auto"/>
        <w:rPr>
          <w:rFonts w:ascii="Arial" w:eastAsiaTheme="minorEastAsia" w:hAnsi="Arial" w:cs="Arial"/>
          <w:b/>
          <w:bCs/>
          <w:color w:val="000000" w:themeColor="text1"/>
          <w:sz w:val="24"/>
          <w:szCs w:val="20"/>
          <w:lang w:val="en-US" w:eastAsia="en-AU"/>
        </w:rPr>
      </w:pPr>
      <w:r>
        <w:rPr>
          <w:rFonts w:ascii="Arial" w:hAnsi="Arial" w:cs="Arial"/>
          <w:b/>
        </w:rPr>
        <w:br w:type="page"/>
      </w:r>
    </w:p>
    <w:p w:rsidR="00F14C5B" w:rsidRPr="00F14C5B" w:rsidRDefault="00F14C5B" w:rsidP="00F14C5B">
      <w:pPr>
        <w:pBdr>
          <w:bottom w:val="single" w:sz="4" w:space="1" w:color="auto"/>
        </w:pBdr>
        <w:spacing w:after="0" w:line="240" w:lineRule="auto"/>
        <w:jc w:val="both"/>
        <w:rPr>
          <w:rFonts w:ascii="Arial" w:eastAsiaTheme="minorEastAsia" w:hAnsi="Arial" w:cs="Arial"/>
          <w:b/>
          <w:sz w:val="28"/>
          <w:szCs w:val="28"/>
        </w:rPr>
      </w:pPr>
      <w:r w:rsidRPr="00F14C5B">
        <w:rPr>
          <w:rFonts w:ascii="Arial" w:eastAsiaTheme="minorEastAsia" w:hAnsi="Arial" w:cs="Arial"/>
          <w:b/>
          <w:color w:val="1F497D" w:themeColor="text2"/>
          <w:sz w:val="28"/>
          <w:szCs w:val="28"/>
        </w:rPr>
        <w:lastRenderedPageBreak/>
        <w:t>PUBLISHING INFORMATION</w:t>
      </w:r>
    </w:p>
    <w:p w:rsidR="00F14C5B" w:rsidRPr="00F14C5B" w:rsidRDefault="00F14C5B" w:rsidP="00F14C5B">
      <w:pPr>
        <w:spacing w:after="0" w:line="240" w:lineRule="auto"/>
        <w:jc w:val="both"/>
        <w:rPr>
          <w:rFonts w:ascii="Arial" w:eastAsiaTheme="minorEastAsia" w:hAnsi="Arial" w:cs="Arial"/>
          <w:sz w:val="20"/>
          <w:szCs w:val="20"/>
        </w:rPr>
      </w:pPr>
    </w:p>
    <w:p w:rsidR="00F14C5B" w:rsidRPr="00992459" w:rsidRDefault="00F14C5B" w:rsidP="00F14C5B">
      <w:pPr>
        <w:spacing w:after="0" w:line="240" w:lineRule="auto"/>
        <w:jc w:val="both"/>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‘Australian Cross Disability Alliance (ACDA) Submission to the Senate Inquiry into Indefinite Detention of People with Cognitive and Psychiatric Impairment in Australia’</w:t>
      </w:r>
    </w:p>
    <w:p w:rsidR="00F14C5B" w:rsidRPr="00992459" w:rsidRDefault="00F14C5B" w:rsidP="00F14C5B">
      <w:pPr>
        <w:spacing w:after="0" w:line="240" w:lineRule="auto"/>
        <w:rPr>
          <w:rFonts w:asciiTheme="majorHAnsi" w:eastAsiaTheme="minorEastAsia" w:hAnsiTheme="majorHAnsi" w:cstheme="majorHAnsi"/>
          <w:sz w:val="24"/>
          <w:szCs w:val="24"/>
        </w:rPr>
      </w:pPr>
    </w:p>
    <w:p w:rsidR="00F14C5B" w:rsidRPr="00992459" w:rsidRDefault="00F14C5B" w:rsidP="00F14C5B">
      <w:pPr>
        <w:spacing w:after="0" w:line="240" w:lineRule="auto"/>
        <w:rPr>
          <w:rFonts w:asciiTheme="majorHAnsi" w:eastAsiaTheme="minorEastAsia" w:hAnsiTheme="majorHAnsi" w:cstheme="majorHAnsi"/>
          <w:b/>
        </w:rPr>
      </w:pPr>
    </w:p>
    <w:p w:rsidR="00F14C5B" w:rsidRPr="00992459" w:rsidRDefault="00F14C5B" w:rsidP="00F14C5B">
      <w:pPr>
        <w:spacing w:after="0" w:line="240" w:lineRule="auto"/>
        <w:rPr>
          <w:rFonts w:asciiTheme="majorHAnsi" w:eastAsiaTheme="minorEastAsia" w:hAnsiTheme="majorHAnsi" w:cstheme="majorHAnsi"/>
          <w:b/>
          <w:sz w:val="24"/>
          <w:szCs w:val="24"/>
        </w:rPr>
      </w:pPr>
      <w:r w:rsidRPr="00992459">
        <w:rPr>
          <w:rFonts w:asciiTheme="majorHAnsi" w:eastAsiaTheme="minorEastAsia" w:hAnsiTheme="majorHAnsi" w:cstheme="majorHAnsi"/>
          <w:b/>
          <w:sz w:val="24"/>
          <w:szCs w:val="24"/>
        </w:rPr>
        <w:t>Suggested Citation:</w:t>
      </w:r>
    </w:p>
    <w:p w:rsidR="00F14C5B" w:rsidRPr="00992459" w:rsidRDefault="00F14C5B" w:rsidP="00F14C5B">
      <w:pPr>
        <w:spacing w:after="0" w:line="240" w:lineRule="auto"/>
        <w:rPr>
          <w:rFonts w:asciiTheme="majorHAnsi" w:eastAsiaTheme="minorEastAsia" w:hAnsiTheme="majorHAnsi" w:cstheme="majorHAnsi"/>
        </w:rPr>
      </w:pPr>
    </w:p>
    <w:p w:rsidR="00F14C5B" w:rsidRPr="00992459" w:rsidRDefault="00F14C5B" w:rsidP="00F14C5B">
      <w:pPr>
        <w:spacing w:after="0" w:line="240" w:lineRule="auto"/>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 xml:space="preserve">Bevan, N., </w:t>
      </w:r>
      <w:r w:rsidR="00A9420C">
        <w:rPr>
          <w:rFonts w:asciiTheme="majorHAnsi" w:eastAsiaTheme="minorEastAsia" w:hAnsiTheme="majorHAnsi" w:cstheme="majorHAnsi"/>
          <w:sz w:val="24"/>
          <w:szCs w:val="24"/>
        </w:rPr>
        <w:t xml:space="preserve">and Sands, T., </w:t>
      </w:r>
      <w:r w:rsidRPr="00992459">
        <w:rPr>
          <w:rFonts w:asciiTheme="majorHAnsi" w:eastAsiaTheme="minorEastAsia" w:hAnsiTheme="majorHAnsi" w:cstheme="majorHAnsi"/>
          <w:sz w:val="24"/>
          <w:szCs w:val="24"/>
        </w:rPr>
        <w:t xml:space="preserve">(2016) </w:t>
      </w:r>
      <w:r w:rsidRPr="00992459">
        <w:rPr>
          <w:rFonts w:asciiTheme="majorHAnsi" w:eastAsiaTheme="minorEastAsia" w:hAnsiTheme="majorHAnsi" w:cstheme="majorHAnsi"/>
          <w:i/>
          <w:sz w:val="24"/>
          <w:szCs w:val="24"/>
        </w:rPr>
        <w:t>Australian Cross Disability Alliance (ACDA) Submission to the Senate Inquiry into Indefinite Detention of People with Cognitive and Psychiatric Impairment in Australia’,</w:t>
      </w:r>
      <w:r w:rsidRPr="00992459">
        <w:rPr>
          <w:rFonts w:asciiTheme="majorHAnsi" w:eastAsiaTheme="minorEastAsia" w:hAnsiTheme="majorHAnsi" w:cstheme="majorHAnsi"/>
          <w:sz w:val="24"/>
          <w:szCs w:val="24"/>
        </w:rPr>
        <w:t xml:space="preserve"> Australian Cross Disability Alliance (ACDA); Sydney, Australia.</w:t>
      </w:r>
    </w:p>
    <w:p w:rsidR="00F14C5B" w:rsidRPr="00992459" w:rsidRDefault="00F14C5B" w:rsidP="00F14C5B">
      <w:pPr>
        <w:spacing w:after="0" w:line="240" w:lineRule="auto"/>
        <w:rPr>
          <w:rFonts w:asciiTheme="majorHAnsi" w:eastAsiaTheme="minorEastAsia" w:hAnsiTheme="majorHAnsi" w:cstheme="majorHAnsi"/>
          <w:sz w:val="24"/>
          <w:szCs w:val="24"/>
        </w:rPr>
      </w:pPr>
    </w:p>
    <w:p w:rsidR="00F14C5B" w:rsidRPr="00992459" w:rsidRDefault="00F14C5B" w:rsidP="00F14C5B">
      <w:pPr>
        <w:spacing w:after="0" w:line="240" w:lineRule="auto"/>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 Australian Cross Disability Alliance (ACDA) April 2016</w:t>
      </w:r>
    </w:p>
    <w:p w:rsidR="00F14C5B" w:rsidRPr="00992459" w:rsidRDefault="00F14C5B" w:rsidP="00F14C5B">
      <w:pPr>
        <w:spacing w:after="0" w:line="240" w:lineRule="auto"/>
        <w:rPr>
          <w:rFonts w:asciiTheme="majorHAnsi" w:eastAsiaTheme="minorEastAsia" w:hAnsiTheme="majorHAnsi" w:cstheme="majorHAnsi"/>
          <w:sz w:val="24"/>
          <w:szCs w:val="24"/>
        </w:rPr>
      </w:pPr>
    </w:p>
    <w:p w:rsidR="00F14C5B" w:rsidRPr="00992459" w:rsidRDefault="00F14C5B" w:rsidP="00F14C5B">
      <w:pPr>
        <w:spacing w:after="0" w:line="240" w:lineRule="auto"/>
        <w:rPr>
          <w:rFonts w:asciiTheme="majorHAnsi" w:eastAsiaTheme="minorEastAsia" w:hAnsiTheme="majorHAnsi" w:cstheme="majorHAnsi"/>
          <w:sz w:val="24"/>
          <w:szCs w:val="24"/>
        </w:rPr>
      </w:pPr>
    </w:p>
    <w:p w:rsidR="00F14C5B" w:rsidRPr="00992459" w:rsidRDefault="00F14C5B" w:rsidP="00F14C5B">
      <w:pPr>
        <w:spacing w:after="0" w:line="240" w:lineRule="auto"/>
        <w:jc w:val="both"/>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 This work is copyright. Apart from any use as permitted under the Copyright Act 1968, no part may be reproduced without written permission from the Australian Cross Disability Alliance (ACDA). All possible care has been taken in the preparation of the information contained in this document. The ACDA disclaims any liability for the accuracy and sufficiency of the information and under no circumstances shall be liable in negligence or otherwise in or arising out of the preparation or supply of any of the information aforesaid.</w:t>
      </w:r>
    </w:p>
    <w:p w:rsidR="00F14C5B" w:rsidRPr="00F14C5B" w:rsidRDefault="00F14C5B" w:rsidP="00F14C5B">
      <w:pPr>
        <w:spacing w:after="0" w:line="240" w:lineRule="auto"/>
        <w:jc w:val="both"/>
        <w:rPr>
          <w:rFonts w:ascii="Arial" w:eastAsiaTheme="minorEastAsia" w:hAnsi="Arial" w:cs="Arial"/>
        </w:rPr>
      </w:pPr>
    </w:p>
    <w:p w:rsidR="00F14C5B" w:rsidRPr="00F14C5B" w:rsidRDefault="00F14C5B" w:rsidP="00F14C5B">
      <w:pPr>
        <w:spacing w:after="0" w:line="240" w:lineRule="auto"/>
        <w:jc w:val="both"/>
        <w:rPr>
          <w:rFonts w:ascii="Arial" w:eastAsiaTheme="minorEastAsia" w:hAnsi="Arial" w:cs="Arial"/>
        </w:rPr>
      </w:pPr>
    </w:p>
    <w:p w:rsidR="00F14C5B" w:rsidRPr="00F14C5B" w:rsidRDefault="00F14C5B" w:rsidP="00F14C5B">
      <w:pPr>
        <w:spacing w:after="0" w:line="240" w:lineRule="auto"/>
        <w:jc w:val="both"/>
        <w:rPr>
          <w:rFonts w:ascii="Arial" w:eastAsiaTheme="minorEastAsia" w:hAnsi="Arial" w:cs="Arial"/>
        </w:rPr>
      </w:pPr>
    </w:p>
    <w:p w:rsidR="00F14C5B" w:rsidRPr="00F14C5B" w:rsidRDefault="00F14C5B" w:rsidP="00F14C5B">
      <w:pPr>
        <w:spacing w:after="0" w:line="240" w:lineRule="auto"/>
        <w:jc w:val="both"/>
        <w:rPr>
          <w:rFonts w:ascii="Arial" w:eastAsiaTheme="minorEastAsia" w:hAnsi="Arial" w:cs="Arial"/>
        </w:rPr>
      </w:pPr>
    </w:p>
    <w:p w:rsidR="00F14C5B" w:rsidRPr="00F14C5B" w:rsidRDefault="00F14C5B" w:rsidP="00F14C5B">
      <w:pPr>
        <w:spacing w:after="0" w:line="240" w:lineRule="auto"/>
        <w:jc w:val="both"/>
        <w:rPr>
          <w:rFonts w:ascii="Arial" w:eastAsiaTheme="minorEastAsia" w:hAnsi="Arial" w:cs="Arial"/>
          <w:sz w:val="20"/>
          <w:szCs w:val="20"/>
        </w:rPr>
      </w:pPr>
    </w:p>
    <w:p w:rsidR="00F14C5B" w:rsidRPr="00F14C5B" w:rsidRDefault="00F14C5B" w:rsidP="00F14C5B">
      <w:pPr>
        <w:spacing w:after="0" w:line="240" w:lineRule="auto"/>
        <w:jc w:val="both"/>
        <w:rPr>
          <w:rFonts w:ascii="Arial" w:eastAsiaTheme="minorEastAsia" w:hAnsi="Arial" w:cs="Arial"/>
          <w:sz w:val="20"/>
          <w:szCs w:val="20"/>
        </w:rPr>
      </w:pPr>
    </w:p>
    <w:p w:rsidR="00F14C5B" w:rsidRPr="00F14C5B" w:rsidRDefault="00F14C5B" w:rsidP="00F14C5B">
      <w:pPr>
        <w:spacing w:after="0" w:line="240" w:lineRule="auto"/>
        <w:jc w:val="both"/>
        <w:rPr>
          <w:rFonts w:ascii="Arial" w:eastAsiaTheme="minorEastAsia" w:hAnsi="Arial" w:cs="Arial"/>
          <w:sz w:val="20"/>
          <w:szCs w:val="20"/>
        </w:rPr>
      </w:pPr>
    </w:p>
    <w:p w:rsidR="00F14C5B" w:rsidRPr="00F14C5B" w:rsidRDefault="00F14C5B" w:rsidP="00F14C5B">
      <w:pPr>
        <w:pBdr>
          <w:bottom w:val="single" w:sz="4" w:space="1" w:color="auto"/>
        </w:pBdr>
        <w:spacing w:after="0" w:line="240" w:lineRule="auto"/>
        <w:jc w:val="both"/>
        <w:rPr>
          <w:rFonts w:ascii="Arial" w:eastAsiaTheme="minorEastAsia" w:hAnsi="Arial" w:cs="Arial"/>
          <w:sz w:val="28"/>
          <w:szCs w:val="28"/>
        </w:rPr>
      </w:pPr>
      <w:r w:rsidRPr="00F14C5B">
        <w:rPr>
          <w:rFonts w:ascii="Arial" w:eastAsiaTheme="minorEastAsia" w:hAnsi="Arial" w:cs="Arial"/>
          <w:b/>
          <w:color w:val="1F497D" w:themeColor="text2"/>
          <w:sz w:val="28"/>
          <w:szCs w:val="28"/>
        </w:rPr>
        <w:t>CONTACTS FOR THIS SUBMISSION</w:t>
      </w:r>
    </w:p>
    <w:p w:rsidR="00F14C5B" w:rsidRPr="00F14C5B" w:rsidRDefault="00F14C5B" w:rsidP="00F14C5B">
      <w:pPr>
        <w:spacing w:after="0" w:line="240" w:lineRule="auto"/>
        <w:jc w:val="both"/>
        <w:rPr>
          <w:rFonts w:ascii="Arial" w:eastAsiaTheme="minorEastAsia" w:hAnsi="Arial" w:cs="Arial"/>
        </w:rPr>
      </w:pPr>
    </w:p>
    <w:p w:rsidR="00F14C5B" w:rsidRPr="00992459" w:rsidRDefault="005909CC" w:rsidP="00F14C5B">
      <w:pPr>
        <w:spacing w:after="0" w:line="240" w:lineRule="auto"/>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Ngila Bevan</w:t>
      </w:r>
    </w:p>
    <w:p w:rsidR="005909CC" w:rsidRPr="00992459" w:rsidRDefault="005909CC" w:rsidP="005909CC">
      <w:pPr>
        <w:spacing w:after="0" w:line="240" w:lineRule="auto"/>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Human Rights Advisor</w:t>
      </w:r>
    </w:p>
    <w:p w:rsidR="005909CC" w:rsidRPr="00992459" w:rsidRDefault="005909CC" w:rsidP="00F14C5B">
      <w:pPr>
        <w:spacing w:after="0" w:line="240" w:lineRule="auto"/>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Manager, Advocacy Projects and Communications</w:t>
      </w:r>
    </w:p>
    <w:p w:rsidR="005909CC" w:rsidRPr="00992459" w:rsidRDefault="005909CC" w:rsidP="00F14C5B">
      <w:pPr>
        <w:spacing w:after="0" w:line="240" w:lineRule="auto"/>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People with Disability Australia (PWDA)</w:t>
      </w:r>
    </w:p>
    <w:p w:rsidR="005909CC" w:rsidRPr="00992459" w:rsidRDefault="005909CC" w:rsidP="00F14C5B">
      <w:pPr>
        <w:spacing w:after="0" w:line="240" w:lineRule="auto"/>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 xml:space="preserve">E: </w:t>
      </w:r>
      <w:hyperlink r:id="rId10" w:history="1">
        <w:r w:rsidRPr="00992459">
          <w:rPr>
            <w:rStyle w:val="Hyperlink"/>
            <w:rFonts w:asciiTheme="majorHAnsi" w:eastAsiaTheme="minorEastAsia" w:hAnsiTheme="majorHAnsi" w:cstheme="majorHAnsi"/>
            <w:sz w:val="24"/>
            <w:szCs w:val="24"/>
          </w:rPr>
          <w:t>ngilab@pwd.org.au</w:t>
        </w:r>
      </w:hyperlink>
    </w:p>
    <w:p w:rsidR="005909CC" w:rsidRPr="00992459" w:rsidRDefault="005909CC" w:rsidP="00F14C5B">
      <w:pPr>
        <w:spacing w:after="0" w:line="240" w:lineRule="auto"/>
        <w:rPr>
          <w:rFonts w:asciiTheme="majorHAnsi" w:eastAsiaTheme="minorEastAsia" w:hAnsiTheme="majorHAnsi" w:cstheme="majorHAnsi"/>
          <w:sz w:val="24"/>
          <w:szCs w:val="24"/>
        </w:rPr>
      </w:pPr>
      <w:proofErr w:type="spellStart"/>
      <w:r w:rsidRPr="00992459">
        <w:rPr>
          <w:rFonts w:asciiTheme="majorHAnsi" w:eastAsiaTheme="minorEastAsia" w:hAnsiTheme="majorHAnsi" w:cstheme="majorHAnsi"/>
          <w:sz w:val="24"/>
          <w:szCs w:val="24"/>
        </w:rPr>
        <w:t>Ph</w:t>
      </w:r>
      <w:proofErr w:type="spellEnd"/>
      <w:r w:rsidRPr="00992459">
        <w:rPr>
          <w:rFonts w:asciiTheme="majorHAnsi" w:eastAsiaTheme="minorEastAsia" w:hAnsiTheme="majorHAnsi" w:cstheme="majorHAnsi"/>
          <w:sz w:val="24"/>
          <w:szCs w:val="24"/>
        </w:rPr>
        <w:t xml:space="preserve">: 02 9370 3100 </w:t>
      </w:r>
    </w:p>
    <w:p w:rsidR="00F14C5B" w:rsidRPr="00992459" w:rsidRDefault="00F14C5B" w:rsidP="00F14C5B">
      <w:pPr>
        <w:spacing w:after="0" w:line="240" w:lineRule="auto"/>
        <w:rPr>
          <w:rFonts w:asciiTheme="majorHAnsi" w:eastAsiaTheme="minorEastAsia" w:hAnsiTheme="majorHAnsi" w:cstheme="majorHAnsi"/>
          <w:sz w:val="24"/>
          <w:szCs w:val="24"/>
        </w:rPr>
      </w:pPr>
    </w:p>
    <w:p w:rsidR="00AF5A21" w:rsidRPr="00992459" w:rsidRDefault="00AF5A21" w:rsidP="00F14C5B">
      <w:pPr>
        <w:spacing w:after="0" w:line="240" w:lineRule="auto"/>
        <w:rPr>
          <w:rFonts w:asciiTheme="majorHAnsi" w:eastAsiaTheme="minorEastAsia" w:hAnsiTheme="majorHAnsi" w:cstheme="majorHAnsi"/>
          <w:sz w:val="24"/>
          <w:szCs w:val="24"/>
        </w:rPr>
      </w:pPr>
    </w:p>
    <w:p w:rsidR="00F14C5B" w:rsidRPr="00992459" w:rsidRDefault="00F14C5B" w:rsidP="00F14C5B">
      <w:pPr>
        <w:spacing w:after="0" w:line="240" w:lineRule="auto"/>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Therese Sands</w:t>
      </w:r>
    </w:p>
    <w:p w:rsidR="00F14C5B" w:rsidRPr="00992459" w:rsidRDefault="00F14C5B" w:rsidP="00F14C5B">
      <w:pPr>
        <w:spacing w:after="0" w:line="240" w:lineRule="auto"/>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Co-Chief Executive Officer</w:t>
      </w:r>
    </w:p>
    <w:p w:rsidR="00F14C5B" w:rsidRPr="00992459" w:rsidRDefault="00F14C5B" w:rsidP="00F14C5B">
      <w:pPr>
        <w:spacing w:after="0" w:line="240" w:lineRule="auto"/>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People with Disability Australia (PWDA)</w:t>
      </w:r>
    </w:p>
    <w:p w:rsidR="00F14C5B" w:rsidRPr="00992459" w:rsidRDefault="00F14C5B" w:rsidP="00F14C5B">
      <w:pPr>
        <w:spacing w:after="0" w:line="240" w:lineRule="auto"/>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 xml:space="preserve">E: </w:t>
      </w:r>
      <w:hyperlink r:id="rId11" w:history="1">
        <w:r w:rsidRPr="00992459">
          <w:rPr>
            <w:rFonts w:asciiTheme="majorHAnsi" w:eastAsiaTheme="minorEastAsia" w:hAnsiTheme="majorHAnsi" w:cstheme="majorHAnsi"/>
            <w:color w:val="0000FF"/>
            <w:sz w:val="24"/>
            <w:szCs w:val="24"/>
            <w:u w:val="single"/>
          </w:rPr>
          <w:t>thereses@pwd.org.au</w:t>
        </w:r>
      </w:hyperlink>
    </w:p>
    <w:p w:rsidR="00F14C5B" w:rsidRPr="00992459" w:rsidRDefault="00F14C5B" w:rsidP="00F14C5B">
      <w:pPr>
        <w:spacing w:after="0" w:line="240" w:lineRule="auto"/>
        <w:rPr>
          <w:rFonts w:asciiTheme="majorHAnsi" w:eastAsiaTheme="minorEastAsia" w:hAnsiTheme="majorHAnsi" w:cstheme="majorHAnsi"/>
          <w:sz w:val="24"/>
          <w:szCs w:val="24"/>
        </w:rPr>
      </w:pPr>
      <w:proofErr w:type="spellStart"/>
      <w:r w:rsidRPr="00992459">
        <w:rPr>
          <w:rFonts w:asciiTheme="majorHAnsi" w:eastAsiaTheme="minorEastAsia" w:hAnsiTheme="majorHAnsi" w:cstheme="majorHAnsi"/>
          <w:sz w:val="24"/>
          <w:szCs w:val="24"/>
        </w:rPr>
        <w:t>Ph</w:t>
      </w:r>
      <w:proofErr w:type="spellEnd"/>
      <w:r w:rsidRPr="00992459">
        <w:rPr>
          <w:rFonts w:asciiTheme="majorHAnsi" w:eastAsiaTheme="minorEastAsia" w:hAnsiTheme="majorHAnsi" w:cstheme="majorHAnsi"/>
          <w:sz w:val="24"/>
          <w:szCs w:val="24"/>
        </w:rPr>
        <w:t>: (02) 9370 3100</w:t>
      </w:r>
    </w:p>
    <w:p w:rsidR="00F14C5B" w:rsidRPr="00992459" w:rsidRDefault="00F14C5B" w:rsidP="00F14C5B">
      <w:pPr>
        <w:spacing w:after="0" w:line="240" w:lineRule="auto"/>
        <w:jc w:val="both"/>
        <w:rPr>
          <w:rFonts w:asciiTheme="majorHAnsi" w:eastAsiaTheme="minorEastAsia" w:hAnsiTheme="majorHAnsi" w:cstheme="majorHAnsi"/>
          <w:sz w:val="24"/>
          <w:szCs w:val="24"/>
        </w:rPr>
      </w:pPr>
    </w:p>
    <w:p w:rsidR="00F14C5B" w:rsidRPr="00F14C5B" w:rsidRDefault="00F14C5B" w:rsidP="00F14C5B">
      <w:pPr>
        <w:spacing w:after="0" w:line="240" w:lineRule="auto"/>
        <w:jc w:val="both"/>
        <w:rPr>
          <w:rFonts w:ascii="Arial" w:eastAsiaTheme="minorEastAsia" w:hAnsi="Arial" w:cs="Arial"/>
          <w:sz w:val="20"/>
          <w:szCs w:val="20"/>
        </w:rPr>
      </w:pPr>
    </w:p>
    <w:p w:rsidR="00FB22E9" w:rsidRPr="00F25F0F" w:rsidRDefault="00FB22E9" w:rsidP="00FB22E9">
      <w:pPr>
        <w:pStyle w:val="NoSpacing"/>
        <w:rPr>
          <w:rFonts w:asciiTheme="minorHAnsi" w:hAnsiTheme="minorHAnsi"/>
          <w:highlight w:val="yellow"/>
        </w:rPr>
      </w:pPr>
    </w:p>
    <w:p w:rsidR="00034E7D" w:rsidRDefault="00034E7D">
      <w:pPr>
        <w:spacing w:after="0" w:line="240" w:lineRule="auto"/>
        <w:rPr>
          <w:rFonts w:ascii="Arial" w:hAnsi="Arial" w:cs="Arial"/>
          <w:szCs w:val="24"/>
        </w:rPr>
      </w:pPr>
      <w:r>
        <w:rPr>
          <w:rFonts w:ascii="Arial" w:hAnsi="Arial" w:cs="Arial"/>
          <w:szCs w:val="24"/>
        </w:rPr>
        <w:br w:type="page"/>
      </w:r>
    </w:p>
    <w:p w:rsidR="00034E7D" w:rsidRPr="00426124" w:rsidRDefault="00034E7D" w:rsidP="00034E7D">
      <w:pPr>
        <w:pBdr>
          <w:bottom w:val="single" w:sz="4" w:space="1" w:color="auto"/>
        </w:pBdr>
        <w:spacing w:after="0" w:line="240" w:lineRule="auto"/>
        <w:jc w:val="both"/>
        <w:rPr>
          <w:rFonts w:ascii="Arial" w:eastAsiaTheme="minorEastAsia" w:hAnsi="Arial" w:cs="Arial"/>
          <w:b/>
          <w:color w:val="1F497D" w:themeColor="text2"/>
          <w:sz w:val="28"/>
          <w:szCs w:val="28"/>
        </w:rPr>
      </w:pPr>
      <w:r w:rsidRPr="00426124">
        <w:rPr>
          <w:rFonts w:ascii="Arial" w:eastAsiaTheme="minorEastAsia" w:hAnsi="Arial" w:cs="Arial"/>
          <w:b/>
          <w:color w:val="1F497D" w:themeColor="text2"/>
          <w:sz w:val="28"/>
          <w:szCs w:val="28"/>
        </w:rPr>
        <w:lastRenderedPageBreak/>
        <w:t>CONTENTS</w:t>
      </w:r>
      <w:bookmarkStart w:id="0" w:name="_GoBack"/>
      <w:bookmarkEnd w:id="0"/>
    </w:p>
    <w:p w:rsidR="00034E7D" w:rsidRPr="00034E7D" w:rsidRDefault="00034E7D" w:rsidP="00034E7D">
      <w:pPr>
        <w:spacing w:after="0"/>
        <w:jc w:val="both"/>
        <w:rPr>
          <w:rFonts w:ascii="Arial" w:eastAsiaTheme="minorEastAsia" w:hAnsi="Arial" w:cs="Arial"/>
          <w:sz w:val="20"/>
          <w:szCs w:val="20"/>
        </w:rPr>
      </w:pPr>
    </w:p>
    <w:sdt>
      <w:sdtPr>
        <w:rPr>
          <w:rFonts w:asciiTheme="minorHAnsi" w:eastAsiaTheme="minorHAnsi" w:hAnsiTheme="minorHAnsi" w:cstheme="minorBidi"/>
          <w:b w:val="0"/>
          <w:bCs w:val="0"/>
          <w:color w:val="auto"/>
          <w:sz w:val="22"/>
          <w:szCs w:val="22"/>
        </w:rPr>
        <w:id w:val="-1461651240"/>
        <w:docPartObj>
          <w:docPartGallery w:val="Table of Contents"/>
          <w:docPartUnique/>
        </w:docPartObj>
      </w:sdtPr>
      <w:sdtEndPr>
        <w:rPr>
          <w:rFonts w:ascii="Calibri" w:eastAsia="Calibri" w:hAnsi="Calibri" w:cs="Times New Roman"/>
          <w:noProof/>
          <w:sz w:val="24"/>
          <w:szCs w:val="24"/>
        </w:rPr>
      </w:sdtEndPr>
      <w:sdtContent>
        <w:p w:rsidR="001C1253" w:rsidRPr="005D4F7A" w:rsidRDefault="001C1253" w:rsidP="00DB7A17">
          <w:pPr>
            <w:pStyle w:val="Heading1"/>
            <w:spacing w:before="0"/>
            <w:rPr>
              <w:rFonts w:eastAsiaTheme="minorEastAsia" w:cstheme="majorHAnsi"/>
              <w:noProof/>
              <w:sz w:val="24"/>
              <w:szCs w:val="24"/>
              <w:lang w:eastAsia="en-AU"/>
            </w:rPr>
          </w:pPr>
          <w:r w:rsidRPr="0054190C">
            <w:rPr>
              <w:sz w:val="24"/>
              <w:szCs w:val="24"/>
            </w:rPr>
            <w:fldChar w:fldCharType="begin"/>
          </w:r>
          <w:r w:rsidRPr="0054190C">
            <w:rPr>
              <w:sz w:val="24"/>
              <w:szCs w:val="24"/>
            </w:rPr>
            <w:instrText xml:space="preserve"> TOC \o "1-3" \h \z \u </w:instrText>
          </w:r>
          <w:r w:rsidRPr="0054190C">
            <w:rPr>
              <w:sz w:val="24"/>
              <w:szCs w:val="24"/>
            </w:rPr>
            <w:fldChar w:fldCharType="separate"/>
          </w:r>
        </w:p>
        <w:p w:rsidR="001C1253" w:rsidRPr="005D4F7A" w:rsidRDefault="00045F9B" w:rsidP="005D4F7A">
          <w:pPr>
            <w:pStyle w:val="TOC1"/>
            <w:rPr>
              <w:rFonts w:eastAsiaTheme="minorEastAsia"/>
              <w:noProof/>
              <w:lang w:eastAsia="en-AU"/>
            </w:rPr>
          </w:pPr>
          <w:hyperlink w:anchor="_Toc447625554" w:history="1">
            <w:r w:rsidR="001C1253" w:rsidRPr="005D4F7A">
              <w:rPr>
                <w:rStyle w:val="Hyperlink"/>
                <w:rFonts w:asciiTheme="majorHAnsi" w:hAnsiTheme="majorHAnsi" w:cstheme="majorHAnsi"/>
                <w:noProof/>
                <w:sz w:val="24"/>
                <w:szCs w:val="24"/>
              </w:rPr>
              <w:t>The Australian Cross Disability Alliance</w:t>
            </w:r>
            <w:r w:rsidR="00DB7A17" w:rsidRPr="005D4F7A">
              <w:rPr>
                <w:noProof/>
                <w:webHidden/>
              </w:rPr>
              <w:tab/>
            </w:r>
          </w:hyperlink>
          <w:r w:rsidR="00C065D8">
            <w:rPr>
              <w:noProof/>
            </w:rPr>
            <w:t>3</w:t>
          </w:r>
        </w:p>
        <w:p w:rsidR="001C1253" w:rsidRPr="005D4F7A" w:rsidRDefault="00045F9B" w:rsidP="005D4F7A">
          <w:pPr>
            <w:pStyle w:val="TOC1"/>
            <w:rPr>
              <w:rFonts w:eastAsiaTheme="minorEastAsia"/>
              <w:noProof/>
              <w:lang w:eastAsia="en-AU"/>
            </w:rPr>
          </w:pPr>
          <w:hyperlink w:anchor="_Toc447625555" w:history="1">
            <w:r w:rsidR="001C1253" w:rsidRPr="005D4F7A">
              <w:rPr>
                <w:rStyle w:val="Hyperlink"/>
                <w:rFonts w:asciiTheme="majorHAnsi" w:hAnsiTheme="majorHAnsi" w:cstheme="majorHAnsi"/>
                <w:noProof/>
                <w:sz w:val="24"/>
                <w:szCs w:val="24"/>
              </w:rPr>
              <w:t>Introduction</w:t>
            </w:r>
            <w:r w:rsidR="001C1253" w:rsidRPr="005D4F7A">
              <w:rPr>
                <w:noProof/>
                <w:webHidden/>
              </w:rPr>
              <w:tab/>
            </w:r>
          </w:hyperlink>
          <w:r w:rsidR="00C065D8">
            <w:rPr>
              <w:noProof/>
            </w:rPr>
            <w:t>4</w:t>
          </w:r>
        </w:p>
        <w:p w:rsidR="001C1253" w:rsidRPr="005D4F7A" w:rsidRDefault="00045F9B" w:rsidP="005D4F7A">
          <w:pPr>
            <w:pStyle w:val="TOC1"/>
            <w:rPr>
              <w:rFonts w:eastAsiaTheme="minorEastAsia"/>
              <w:noProof/>
              <w:lang w:eastAsia="en-AU"/>
            </w:rPr>
          </w:pPr>
          <w:hyperlink w:anchor="_Toc447625556" w:history="1">
            <w:r w:rsidR="001C1253" w:rsidRPr="005D4F7A">
              <w:rPr>
                <w:rStyle w:val="Hyperlink"/>
                <w:rFonts w:asciiTheme="majorHAnsi" w:hAnsiTheme="majorHAnsi" w:cstheme="majorHAnsi"/>
                <w:noProof/>
                <w:sz w:val="24"/>
                <w:szCs w:val="24"/>
              </w:rPr>
              <w:t>Key Recommendations</w:t>
            </w:r>
            <w:r w:rsidR="001C1253" w:rsidRPr="005D4F7A">
              <w:rPr>
                <w:noProof/>
                <w:webHidden/>
              </w:rPr>
              <w:tab/>
            </w:r>
            <w:r w:rsidR="003E4E2E">
              <w:rPr>
                <w:noProof/>
                <w:webHidden/>
              </w:rPr>
              <w:t>7</w:t>
            </w:r>
          </w:hyperlink>
        </w:p>
        <w:p w:rsidR="001C1253" w:rsidRPr="005D4F7A" w:rsidRDefault="00045F9B" w:rsidP="005D4F7A">
          <w:pPr>
            <w:pStyle w:val="TOC1"/>
            <w:rPr>
              <w:rFonts w:eastAsiaTheme="minorEastAsia"/>
              <w:noProof/>
              <w:lang w:eastAsia="en-AU"/>
            </w:rPr>
          </w:pPr>
          <w:hyperlink w:anchor="_Toc447625557" w:history="1">
            <w:r w:rsidR="001C1253" w:rsidRPr="005D4F7A">
              <w:rPr>
                <w:rStyle w:val="Hyperlink"/>
                <w:rFonts w:asciiTheme="majorHAnsi" w:hAnsiTheme="majorHAnsi" w:cstheme="majorHAnsi"/>
                <w:noProof/>
                <w:sz w:val="24"/>
                <w:szCs w:val="24"/>
              </w:rPr>
              <w:t>I.</w:t>
            </w:r>
            <w:r w:rsidR="005D4F7A" w:rsidRPr="005D4F7A">
              <w:rPr>
                <w:rFonts w:eastAsiaTheme="minorEastAsia"/>
                <w:noProof/>
                <w:lang w:eastAsia="en-AU"/>
              </w:rPr>
              <w:t xml:space="preserve"> </w:t>
            </w:r>
            <w:r w:rsidR="001C1253" w:rsidRPr="005D4F7A">
              <w:rPr>
                <w:rStyle w:val="Hyperlink"/>
                <w:rFonts w:asciiTheme="majorHAnsi" w:hAnsiTheme="majorHAnsi" w:cstheme="majorHAnsi"/>
                <w:noProof/>
                <w:sz w:val="24"/>
                <w:szCs w:val="24"/>
              </w:rPr>
              <w:t>Indefinite detention of people with cognitive impairment and or psychosocial disability</w:t>
            </w:r>
            <w:r w:rsidR="001C1253" w:rsidRPr="005D4F7A">
              <w:rPr>
                <w:noProof/>
                <w:webHidden/>
              </w:rPr>
              <w:tab/>
            </w:r>
            <w:r w:rsidR="00EF266E">
              <w:rPr>
                <w:noProof/>
                <w:webHidden/>
              </w:rPr>
              <w:t>9</w:t>
            </w:r>
          </w:hyperlink>
        </w:p>
        <w:p w:rsidR="001C1253" w:rsidRPr="005D4F7A" w:rsidRDefault="00045F9B" w:rsidP="005D4F7A">
          <w:pPr>
            <w:pStyle w:val="TOC2"/>
            <w:rPr>
              <w:rFonts w:eastAsiaTheme="minorEastAsia"/>
              <w:noProof/>
              <w:lang w:eastAsia="en-AU"/>
            </w:rPr>
          </w:pPr>
          <w:hyperlink w:anchor="_Toc447625558" w:history="1">
            <w:r w:rsidR="001C1253" w:rsidRPr="005D4F7A">
              <w:rPr>
                <w:rStyle w:val="Hyperlink"/>
                <w:rFonts w:asciiTheme="majorHAnsi" w:hAnsiTheme="majorHAnsi" w:cstheme="majorHAnsi"/>
                <w:noProof/>
                <w:sz w:val="24"/>
                <w:szCs w:val="24"/>
              </w:rPr>
              <w:t>Unfitness to plead</w:t>
            </w:r>
            <w:r w:rsidR="001C1253" w:rsidRPr="005D4F7A">
              <w:rPr>
                <w:noProof/>
                <w:webHidden/>
              </w:rPr>
              <w:tab/>
            </w:r>
            <w:r w:rsidR="00EF266E">
              <w:rPr>
                <w:noProof/>
                <w:webHidden/>
              </w:rPr>
              <w:t>9</w:t>
            </w:r>
          </w:hyperlink>
        </w:p>
        <w:p w:rsidR="001C1253" w:rsidRPr="005D4F7A" w:rsidRDefault="00045F9B" w:rsidP="005D4F7A">
          <w:pPr>
            <w:pStyle w:val="TOC2"/>
            <w:rPr>
              <w:rFonts w:eastAsiaTheme="minorEastAsia"/>
              <w:noProof/>
              <w:lang w:eastAsia="en-AU"/>
            </w:rPr>
          </w:pPr>
          <w:hyperlink w:anchor="_Toc447625559" w:history="1">
            <w:r w:rsidR="001C1253" w:rsidRPr="005D4F7A">
              <w:rPr>
                <w:rStyle w:val="Hyperlink"/>
                <w:rFonts w:asciiTheme="majorHAnsi" w:hAnsiTheme="majorHAnsi" w:cstheme="majorHAnsi"/>
                <w:noProof/>
                <w:sz w:val="24"/>
                <w:szCs w:val="24"/>
              </w:rPr>
              <w:t>Mental impairment defence</w:t>
            </w:r>
            <w:r w:rsidR="001C1253" w:rsidRPr="005D4F7A">
              <w:rPr>
                <w:noProof/>
                <w:webHidden/>
              </w:rPr>
              <w:tab/>
            </w:r>
            <w:r w:rsidR="00EF266E">
              <w:rPr>
                <w:noProof/>
                <w:webHidden/>
              </w:rPr>
              <w:t>11</w:t>
            </w:r>
          </w:hyperlink>
        </w:p>
        <w:p w:rsidR="001C1253" w:rsidRPr="005D4F7A" w:rsidRDefault="00045F9B" w:rsidP="005D4F7A">
          <w:pPr>
            <w:pStyle w:val="TOC2"/>
            <w:rPr>
              <w:rFonts w:eastAsiaTheme="minorEastAsia"/>
              <w:noProof/>
              <w:lang w:eastAsia="en-AU"/>
            </w:rPr>
          </w:pPr>
          <w:hyperlink w:anchor="_Toc447625560" w:history="1">
            <w:r w:rsidR="001C1253" w:rsidRPr="005D4F7A">
              <w:rPr>
                <w:rStyle w:val="Hyperlink"/>
                <w:rFonts w:asciiTheme="majorHAnsi" w:hAnsiTheme="majorHAnsi" w:cstheme="majorHAnsi"/>
                <w:noProof/>
                <w:sz w:val="24"/>
                <w:szCs w:val="24"/>
              </w:rPr>
              <w:t>Mental health laws</w:t>
            </w:r>
            <w:r w:rsidR="001C1253" w:rsidRPr="005D4F7A">
              <w:rPr>
                <w:noProof/>
                <w:webHidden/>
              </w:rPr>
              <w:tab/>
            </w:r>
            <w:r w:rsidR="00EF266E">
              <w:rPr>
                <w:noProof/>
                <w:webHidden/>
              </w:rPr>
              <w:t>12</w:t>
            </w:r>
          </w:hyperlink>
        </w:p>
        <w:p w:rsidR="001C1253" w:rsidRPr="005D4F7A" w:rsidRDefault="00045F9B" w:rsidP="005D4F7A">
          <w:pPr>
            <w:pStyle w:val="TOC2"/>
            <w:rPr>
              <w:rFonts w:eastAsiaTheme="minorEastAsia"/>
              <w:noProof/>
              <w:lang w:eastAsia="en-AU"/>
            </w:rPr>
          </w:pPr>
          <w:hyperlink w:anchor="_Toc447625561" w:history="1">
            <w:r w:rsidR="001C1253" w:rsidRPr="005D4F7A">
              <w:rPr>
                <w:rStyle w:val="Hyperlink"/>
                <w:rFonts w:asciiTheme="majorHAnsi" w:hAnsiTheme="majorHAnsi" w:cstheme="majorHAnsi"/>
                <w:noProof/>
                <w:sz w:val="24"/>
                <w:szCs w:val="24"/>
              </w:rPr>
              <w:t>Immigration detention</w:t>
            </w:r>
            <w:r w:rsidR="001C1253" w:rsidRPr="005D4F7A">
              <w:rPr>
                <w:noProof/>
                <w:webHidden/>
              </w:rPr>
              <w:tab/>
            </w:r>
          </w:hyperlink>
          <w:r w:rsidR="00C065D8">
            <w:rPr>
              <w:noProof/>
            </w:rPr>
            <w:t>14</w:t>
          </w:r>
        </w:p>
        <w:p w:rsidR="001C1253" w:rsidRPr="005D4F7A" w:rsidRDefault="00045F9B" w:rsidP="005D4F7A">
          <w:pPr>
            <w:pStyle w:val="TOC1"/>
            <w:rPr>
              <w:rFonts w:eastAsiaTheme="minorEastAsia"/>
              <w:noProof/>
              <w:lang w:eastAsia="en-AU"/>
            </w:rPr>
          </w:pPr>
          <w:hyperlink w:anchor="_Toc447625562" w:history="1">
            <w:r w:rsidR="001C1253" w:rsidRPr="005D4F7A">
              <w:rPr>
                <w:rStyle w:val="Hyperlink"/>
                <w:rFonts w:asciiTheme="majorHAnsi" w:hAnsiTheme="majorHAnsi" w:cstheme="majorHAnsi"/>
                <w:noProof/>
                <w:sz w:val="24"/>
                <w:szCs w:val="24"/>
              </w:rPr>
              <w:t>II.Consequences for Human Rights</w:t>
            </w:r>
            <w:r w:rsidR="001C1253" w:rsidRPr="005D4F7A">
              <w:rPr>
                <w:noProof/>
                <w:webHidden/>
              </w:rPr>
              <w:tab/>
            </w:r>
          </w:hyperlink>
          <w:r w:rsidR="00C065D8">
            <w:rPr>
              <w:noProof/>
            </w:rPr>
            <w:t>15</w:t>
          </w:r>
        </w:p>
        <w:p w:rsidR="001C1253" w:rsidRPr="005D4F7A" w:rsidRDefault="00045F9B" w:rsidP="005D4F7A">
          <w:pPr>
            <w:pStyle w:val="TOC2"/>
            <w:rPr>
              <w:rFonts w:eastAsiaTheme="minorEastAsia"/>
              <w:noProof/>
              <w:lang w:eastAsia="en-AU"/>
            </w:rPr>
          </w:pPr>
          <w:hyperlink w:anchor="_Toc447625563" w:history="1">
            <w:r w:rsidR="001C1253" w:rsidRPr="005D4F7A">
              <w:rPr>
                <w:rStyle w:val="Hyperlink"/>
                <w:rFonts w:asciiTheme="majorHAnsi" w:hAnsiTheme="majorHAnsi" w:cstheme="majorHAnsi"/>
                <w:noProof/>
                <w:sz w:val="24"/>
                <w:szCs w:val="24"/>
              </w:rPr>
              <w:t>Use of restrictive practices</w:t>
            </w:r>
            <w:r w:rsidR="001C1253" w:rsidRPr="005D4F7A">
              <w:rPr>
                <w:noProof/>
                <w:webHidden/>
              </w:rPr>
              <w:tab/>
            </w:r>
          </w:hyperlink>
          <w:r w:rsidR="00C065D8">
            <w:rPr>
              <w:noProof/>
            </w:rPr>
            <w:t>15</w:t>
          </w:r>
        </w:p>
        <w:p w:rsidR="001C1253" w:rsidRPr="005D4F7A" w:rsidRDefault="005D4F7A" w:rsidP="005D4F7A">
          <w:pPr>
            <w:pStyle w:val="TOC3"/>
            <w:rPr>
              <w:rFonts w:eastAsiaTheme="minorEastAsia"/>
              <w:noProof/>
              <w:lang w:eastAsia="en-AU"/>
            </w:rPr>
          </w:pPr>
          <w:r>
            <w:rPr>
              <w:noProof/>
            </w:rPr>
            <w:tab/>
          </w:r>
          <w:hyperlink w:anchor="_Toc447625564" w:history="1">
            <w:r w:rsidR="001C1253" w:rsidRPr="005D4F7A">
              <w:rPr>
                <w:rStyle w:val="Hyperlink"/>
                <w:rFonts w:asciiTheme="majorHAnsi" w:hAnsiTheme="majorHAnsi" w:cstheme="majorHAnsi"/>
                <w:noProof/>
                <w:sz w:val="24"/>
                <w:szCs w:val="24"/>
              </w:rPr>
              <w:t>Solitary confinement</w:t>
            </w:r>
            <w:r w:rsidR="001C1253" w:rsidRPr="005D4F7A">
              <w:rPr>
                <w:noProof/>
                <w:webHidden/>
              </w:rPr>
              <w:tab/>
            </w:r>
          </w:hyperlink>
          <w:r w:rsidR="00C065D8">
            <w:rPr>
              <w:noProof/>
            </w:rPr>
            <w:t>16</w:t>
          </w:r>
        </w:p>
        <w:p w:rsidR="001C1253" w:rsidRPr="005D4F7A" w:rsidRDefault="00045F9B" w:rsidP="005D4F7A">
          <w:pPr>
            <w:pStyle w:val="TOC2"/>
            <w:rPr>
              <w:rFonts w:eastAsiaTheme="minorEastAsia"/>
              <w:noProof/>
              <w:lang w:eastAsia="en-AU"/>
            </w:rPr>
          </w:pPr>
          <w:hyperlink w:anchor="_Toc447625565" w:history="1">
            <w:r w:rsidR="001C1253" w:rsidRPr="005D4F7A">
              <w:rPr>
                <w:rStyle w:val="Hyperlink"/>
                <w:rFonts w:asciiTheme="majorHAnsi" w:hAnsiTheme="majorHAnsi" w:cstheme="majorHAnsi"/>
                <w:noProof/>
                <w:sz w:val="24"/>
                <w:szCs w:val="24"/>
              </w:rPr>
              <w:t>Forced treatment</w:t>
            </w:r>
            <w:r w:rsidR="001C1253" w:rsidRPr="005D4F7A">
              <w:rPr>
                <w:noProof/>
                <w:webHidden/>
              </w:rPr>
              <w:tab/>
            </w:r>
            <w:r w:rsidR="00C065D8">
              <w:rPr>
                <w:noProof/>
                <w:webHidden/>
              </w:rPr>
              <w:t>17</w:t>
            </w:r>
          </w:hyperlink>
        </w:p>
        <w:p w:rsidR="001C1253" w:rsidRPr="005D4F7A" w:rsidRDefault="00045F9B" w:rsidP="005D4F7A">
          <w:pPr>
            <w:pStyle w:val="TOC2"/>
            <w:rPr>
              <w:rFonts w:eastAsiaTheme="minorEastAsia"/>
              <w:noProof/>
              <w:lang w:eastAsia="en-AU"/>
            </w:rPr>
          </w:pPr>
          <w:hyperlink w:anchor="_Toc447625566" w:history="1">
            <w:r w:rsidR="001C1253" w:rsidRPr="005D4F7A">
              <w:rPr>
                <w:rStyle w:val="Hyperlink"/>
                <w:rFonts w:asciiTheme="majorHAnsi" w:hAnsiTheme="majorHAnsi" w:cstheme="majorHAnsi"/>
                <w:noProof/>
                <w:sz w:val="24"/>
                <w:szCs w:val="24"/>
              </w:rPr>
              <w:t>Denial of reasonable accommodation</w:t>
            </w:r>
            <w:r w:rsidR="001C1253" w:rsidRPr="005D4F7A">
              <w:rPr>
                <w:noProof/>
                <w:webHidden/>
              </w:rPr>
              <w:tab/>
            </w:r>
            <w:r w:rsidR="00C065D8">
              <w:rPr>
                <w:noProof/>
                <w:webHidden/>
              </w:rPr>
              <w:t>19</w:t>
            </w:r>
          </w:hyperlink>
        </w:p>
        <w:p w:rsidR="001C1253" w:rsidRPr="005D4F7A" w:rsidRDefault="00045F9B" w:rsidP="005D4F7A">
          <w:pPr>
            <w:pStyle w:val="TOC2"/>
            <w:rPr>
              <w:rFonts w:eastAsiaTheme="minorEastAsia"/>
              <w:noProof/>
              <w:lang w:eastAsia="en-AU"/>
            </w:rPr>
          </w:pPr>
          <w:hyperlink w:anchor="_Toc447625567" w:history="1">
            <w:r w:rsidR="001C1253" w:rsidRPr="005D4F7A">
              <w:rPr>
                <w:rStyle w:val="Hyperlink"/>
                <w:rFonts w:asciiTheme="majorHAnsi" w:hAnsiTheme="majorHAnsi" w:cstheme="majorHAnsi"/>
                <w:noProof/>
                <w:sz w:val="24"/>
                <w:szCs w:val="24"/>
              </w:rPr>
              <w:t>Inappropriate detention environments</w:t>
            </w:r>
            <w:r w:rsidR="001C1253" w:rsidRPr="005D4F7A">
              <w:rPr>
                <w:noProof/>
                <w:webHidden/>
              </w:rPr>
              <w:tab/>
            </w:r>
            <w:r w:rsidR="00C065D8">
              <w:rPr>
                <w:noProof/>
                <w:webHidden/>
              </w:rPr>
              <w:t>20</w:t>
            </w:r>
          </w:hyperlink>
        </w:p>
        <w:p w:rsidR="001C1253" w:rsidRPr="005D4F7A" w:rsidRDefault="00045F9B" w:rsidP="005D4F7A">
          <w:pPr>
            <w:pStyle w:val="TOC1"/>
            <w:rPr>
              <w:rFonts w:eastAsiaTheme="minorEastAsia"/>
              <w:noProof/>
              <w:lang w:eastAsia="en-AU"/>
            </w:rPr>
          </w:pPr>
          <w:hyperlink w:anchor="_Toc447625568" w:history="1">
            <w:r w:rsidR="001C1253" w:rsidRPr="005D4F7A">
              <w:rPr>
                <w:rStyle w:val="Hyperlink"/>
                <w:rFonts w:asciiTheme="majorHAnsi" w:hAnsiTheme="majorHAnsi" w:cstheme="majorHAnsi"/>
                <w:noProof/>
                <w:sz w:val="24"/>
                <w:szCs w:val="24"/>
              </w:rPr>
              <w:t>III.Reforms Required</w:t>
            </w:r>
            <w:r w:rsidR="001C1253" w:rsidRPr="005D4F7A">
              <w:rPr>
                <w:noProof/>
                <w:webHidden/>
              </w:rPr>
              <w:tab/>
            </w:r>
            <w:r w:rsidR="00A1675D">
              <w:rPr>
                <w:noProof/>
                <w:webHidden/>
              </w:rPr>
              <w:t>21</w:t>
            </w:r>
          </w:hyperlink>
        </w:p>
        <w:p w:rsidR="001C1253" w:rsidRPr="005D4F7A" w:rsidRDefault="00045F9B" w:rsidP="005D4F7A">
          <w:pPr>
            <w:pStyle w:val="TOC2"/>
            <w:rPr>
              <w:rFonts w:eastAsiaTheme="minorEastAsia"/>
              <w:noProof/>
              <w:lang w:eastAsia="en-AU"/>
            </w:rPr>
          </w:pPr>
          <w:hyperlink w:anchor="_Toc447625569" w:history="1">
            <w:r w:rsidR="001C1253" w:rsidRPr="005D4F7A">
              <w:rPr>
                <w:rStyle w:val="Hyperlink"/>
                <w:rFonts w:asciiTheme="majorHAnsi" w:hAnsiTheme="majorHAnsi" w:cstheme="majorHAnsi"/>
                <w:noProof/>
                <w:sz w:val="24"/>
                <w:szCs w:val="24"/>
              </w:rPr>
              <w:t>Recognition of legal capacity</w:t>
            </w:r>
            <w:r w:rsidR="001C1253" w:rsidRPr="005D4F7A">
              <w:rPr>
                <w:noProof/>
                <w:webHidden/>
              </w:rPr>
              <w:tab/>
            </w:r>
            <w:r w:rsidR="00A1675D">
              <w:rPr>
                <w:noProof/>
                <w:webHidden/>
              </w:rPr>
              <w:t>21</w:t>
            </w:r>
          </w:hyperlink>
        </w:p>
        <w:p w:rsidR="001C1253" w:rsidRPr="005D4F7A" w:rsidRDefault="00045F9B" w:rsidP="005D4F7A">
          <w:pPr>
            <w:pStyle w:val="TOC2"/>
            <w:rPr>
              <w:rFonts w:eastAsiaTheme="minorEastAsia"/>
              <w:noProof/>
              <w:lang w:eastAsia="en-AU"/>
            </w:rPr>
          </w:pPr>
          <w:hyperlink w:anchor="_Toc447625570" w:history="1">
            <w:r w:rsidR="001C1253" w:rsidRPr="005D4F7A">
              <w:rPr>
                <w:rStyle w:val="Hyperlink"/>
                <w:rFonts w:asciiTheme="majorHAnsi" w:hAnsiTheme="majorHAnsi" w:cstheme="majorHAnsi"/>
                <w:noProof/>
                <w:sz w:val="24"/>
                <w:szCs w:val="24"/>
              </w:rPr>
              <w:t>Removing barriers to accessing justice</w:t>
            </w:r>
            <w:r w:rsidR="001C1253" w:rsidRPr="005D4F7A">
              <w:rPr>
                <w:noProof/>
                <w:webHidden/>
              </w:rPr>
              <w:tab/>
            </w:r>
            <w:r w:rsidR="00A1675D">
              <w:rPr>
                <w:noProof/>
                <w:webHidden/>
              </w:rPr>
              <w:t>23</w:t>
            </w:r>
          </w:hyperlink>
        </w:p>
        <w:p w:rsidR="001C1253" w:rsidRPr="005D4F7A" w:rsidRDefault="00045F9B" w:rsidP="005D4F7A">
          <w:pPr>
            <w:pStyle w:val="TOC2"/>
            <w:rPr>
              <w:rFonts w:eastAsiaTheme="minorEastAsia"/>
              <w:noProof/>
              <w:lang w:eastAsia="en-AU"/>
            </w:rPr>
          </w:pPr>
          <w:hyperlink w:anchor="_Toc447625571" w:history="1">
            <w:r w:rsidR="001C1253" w:rsidRPr="005D4F7A">
              <w:rPr>
                <w:rStyle w:val="Hyperlink"/>
                <w:rFonts w:asciiTheme="majorHAnsi" w:hAnsiTheme="majorHAnsi" w:cstheme="majorHAnsi"/>
                <w:noProof/>
                <w:sz w:val="24"/>
                <w:szCs w:val="24"/>
              </w:rPr>
              <w:t>Limits on detention</w:t>
            </w:r>
            <w:r w:rsidR="001C1253" w:rsidRPr="005D4F7A">
              <w:rPr>
                <w:noProof/>
                <w:webHidden/>
              </w:rPr>
              <w:tab/>
            </w:r>
            <w:r w:rsidR="00A1675D">
              <w:rPr>
                <w:noProof/>
                <w:webHidden/>
              </w:rPr>
              <w:t>24</w:t>
            </w:r>
          </w:hyperlink>
        </w:p>
        <w:p w:rsidR="001C1253" w:rsidRPr="005D4F7A" w:rsidRDefault="00045F9B" w:rsidP="005D4F7A">
          <w:pPr>
            <w:pStyle w:val="TOC2"/>
            <w:rPr>
              <w:rFonts w:eastAsiaTheme="minorEastAsia"/>
              <w:noProof/>
              <w:lang w:eastAsia="en-AU"/>
            </w:rPr>
          </w:pPr>
          <w:hyperlink w:anchor="_Toc447625572" w:history="1">
            <w:r w:rsidR="001C1253" w:rsidRPr="005D4F7A">
              <w:rPr>
                <w:rStyle w:val="Hyperlink"/>
                <w:rFonts w:asciiTheme="majorHAnsi" w:hAnsiTheme="majorHAnsi" w:cstheme="majorHAnsi"/>
                <w:noProof/>
                <w:sz w:val="24"/>
                <w:szCs w:val="24"/>
              </w:rPr>
              <w:t>Elimination of restrictive practices</w:t>
            </w:r>
            <w:r w:rsidR="001C1253" w:rsidRPr="005D4F7A">
              <w:rPr>
                <w:noProof/>
                <w:webHidden/>
              </w:rPr>
              <w:tab/>
            </w:r>
            <w:r w:rsidR="00A1675D">
              <w:rPr>
                <w:noProof/>
                <w:webHidden/>
              </w:rPr>
              <w:t>25</w:t>
            </w:r>
          </w:hyperlink>
        </w:p>
        <w:p w:rsidR="001C1253" w:rsidRPr="005D4F7A" w:rsidRDefault="00045F9B" w:rsidP="005D4F7A">
          <w:pPr>
            <w:pStyle w:val="TOC2"/>
            <w:rPr>
              <w:rFonts w:eastAsiaTheme="minorEastAsia"/>
              <w:noProof/>
              <w:lang w:eastAsia="en-AU"/>
            </w:rPr>
          </w:pPr>
          <w:hyperlink w:anchor="_Toc447625573" w:history="1">
            <w:r w:rsidR="001C1253" w:rsidRPr="005D4F7A">
              <w:rPr>
                <w:rStyle w:val="Hyperlink"/>
                <w:rFonts w:asciiTheme="majorHAnsi" w:hAnsiTheme="majorHAnsi" w:cstheme="majorHAnsi"/>
                <w:noProof/>
                <w:sz w:val="24"/>
                <w:szCs w:val="24"/>
              </w:rPr>
              <w:t>Provision of adequate disability support</w:t>
            </w:r>
            <w:r w:rsidR="001C1253" w:rsidRPr="005D4F7A">
              <w:rPr>
                <w:noProof/>
                <w:webHidden/>
              </w:rPr>
              <w:tab/>
            </w:r>
            <w:r w:rsidR="00C065D8">
              <w:rPr>
                <w:noProof/>
                <w:webHidden/>
              </w:rPr>
              <w:t>25</w:t>
            </w:r>
          </w:hyperlink>
        </w:p>
        <w:p w:rsidR="001C1253" w:rsidRPr="005D4F7A" w:rsidRDefault="00045F9B" w:rsidP="005D4F7A">
          <w:pPr>
            <w:pStyle w:val="TOC2"/>
            <w:rPr>
              <w:rFonts w:eastAsiaTheme="minorEastAsia"/>
              <w:noProof/>
              <w:lang w:eastAsia="en-AU"/>
            </w:rPr>
          </w:pPr>
          <w:hyperlink w:anchor="_Toc447625574" w:history="1">
            <w:r w:rsidR="001C1253" w:rsidRPr="005D4F7A">
              <w:rPr>
                <w:rStyle w:val="Hyperlink"/>
                <w:rFonts w:asciiTheme="majorHAnsi" w:hAnsiTheme="majorHAnsi" w:cstheme="majorHAnsi"/>
                <w:noProof/>
                <w:sz w:val="24"/>
                <w:szCs w:val="24"/>
              </w:rPr>
              <w:t>Treatment not punishment</w:t>
            </w:r>
            <w:r w:rsidR="001C1253" w:rsidRPr="005D4F7A">
              <w:rPr>
                <w:noProof/>
                <w:webHidden/>
              </w:rPr>
              <w:tab/>
            </w:r>
            <w:r w:rsidR="00C065D8">
              <w:rPr>
                <w:noProof/>
                <w:webHidden/>
              </w:rPr>
              <w:t>27</w:t>
            </w:r>
          </w:hyperlink>
        </w:p>
        <w:p w:rsidR="001C1253" w:rsidRPr="005D4F7A" w:rsidRDefault="00045F9B" w:rsidP="005D4F7A">
          <w:pPr>
            <w:pStyle w:val="TOC2"/>
            <w:rPr>
              <w:rFonts w:eastAsiaTheme="minorEastAsia"/>
              <w:noProof/>
              <w:lang w:eastAsia="en-AU"/>
            </w:rPr>
          </w:pPr>
          <w:hyperlink w:anchor="_Toc447625575" w:history="1">
            <w:r w:rsidR="001C1253" w:rsidRPr="005D4F7A">
              <w:rPr>
                <w:rStyle w:val="Hyperlink"/>
                <w:rFonts w:asciiTheme="majorHAnsi" w:hAnsiTheme="majorHAnsi" w:cstheme="majorHAnsi"/>
                <w:noProof/>
                <w:sz w:val="24"/>
                <w:szCs w:val="24"/>
              </w:rPr>
              <w:t>Ending indefinite mandatory detention of asylum seekers</w:t>
            </w:r>
            <w:r w:rsidR="001C1253" w:rsidRPr="005D4F7A">
              <w:rPr>
                <w:noProof/>
                <w:webHidden/>
              </w:rPr>
              <w:tab/>
            </w:r>
            <w:r w:rsidR="00C065D8">
              <w:rPr>
                <w:noProof/>
                <w:webHidden/>
              </w:rPr>
              <w:t>28</w:t>
            </w:r>
          </w:hyperlink>
        </w:p>
        <w:p w:rsidR="001C1253" w:rsidRDefault="00045F9B" w:rsidP="005D4F7A">
          <w:pPr>
            <w:pStyle w:val="TOC1"/>
            <w:rPr>
              <w:rFonts w:eastAsiaTheme="minorEastAsia"/>
              <w:noProof/>
              <w:lang w:eastAsia="en-AU"/>
            </w:rPr>
          </w:pPr>
          <w:hyperlink w:anchor="_Toc447625576" w:history="1">
            <w:r w:rsidR="001C1253" w:rsidRPr="005D4F7A">
              <w:rPr>
                <w:rStyle w:val="Hyperlink"/>
                <w:rFonts w:asciiTheme="majorHAnsi" w:hAnsiTheme="majorHAnsi" w:cstheme="majorHAnsi"/>
                <w:noProof/>
                <w:sz w:val="24"/>
                <w:szCs w:val="24"/>
              </w:rPr>
              <w:t>Conclusion</w:t>
            </w:r>
            <w:r w:rsidR="001C1253" w:rsidRPr="005D4F7A">
              <w:rPr>
                <w:noProof/>
                <w:webHidden/>
              </w:rPr>
              <w:tab/>
            </w:r>
            <w:r w:rsidR="00C065D8">
              <w:rPr>
                <w:noProof/>
                <w:webHidden/>
              </w:rPr>
              <w:t>28</w:t>
            </w:r>
          </w:hyperlink>
        </w:p>
        <w:p w:rsidR="001C1253" w:rsidRPr="0054190C" w:rsidRDefault="001C1253" w:rsidP="001C1253">
          <w:pPr>
            <w:rPr>
              <w:sz w:val="24"/>
              <w:szCs w:val="24"/>
            </w:rPr>
          </w:pPr>
          <w:r w:rsidRPr="0054190C">
            <w:rPr>
              <w:b/>
              <w:bCs/>
              <w:noProof/>
              <w:sz w:val="24"/>
              <w:szCs w:val="24"/>
            </w:rPr>
            <w:fldChar w:fldCharType="end"/>
          </w:r>
        </w:p>
      </w:sdtContent>
    </w:sdt>
    <w:p w:rsidR="00DB7A17" w:rsidRDefault="00DB7A17" w:rsidP="001C1253">
      <w:pPr>
        <w:rPr>
          <w:sz w:val="24"/>
          <w:szCs w:val="24"/>
        </w:rPr>
      </w:pPr>
    </w:p>
    <w:p w:rsidR="00DB7A17" w:rsidRDefault="00DB7A17" w:rsidP="001C1253">
      <w:pPr>
        <w:rPr>
          <w:sz w:val="24"/>
          <w:szCs w:val="24"/>
        </w:rPr>
      </w:pPr>
    </w:p>
    <w:p w:rsidR="001C1253" w:rsidRDefault="001C1253" w:rsidP="001C1253">
      <w:pPr>
        <w:rPr>
          <w:rFonts w:eastAsiaTheme="majorEastAsia" w:cstheme="majorBidi"/>
          <w:b/>
          <w:color w:val="365F91" w:themeColor="accent1" w:themeShade="BF"/>
          <w:sz w:val="24"/>
          <w:szCs w:val="24"/>
        </w:rPr>
      </w:pPr>
      <w:r>
        <w:rPr>
          <w:sz w:val="24"/>
          <w:szCs w:val="24"/>
        </w:rPr>
        <w:br w:type="page"/>
      </w:r>
    </w:p>
    <w:p w:rsidR="00C86982" w:rsidRDefault="00C86982" w:rsidP="00992459">
      <w:pPr>
        <w:pStyle w:val="Heading1"/>
        <w:spacing w:after="120"/>
        <w:rPr>
          <w:rFonts w:ascii="Arial" w:hAnsi="Arial" w:cs="Arial"/>
          <w:color w:val="auto"/>
        </w:rPr>
        <w:sectPr w:rsidR="00C86982" w:rsidSect="00C86982">
          <w:footerReference w:type="even" r:id="rId12"/>
          <w:footerReference w:type="default" r:id="rId13"/>
          <w:footerReference w:type="first" r:id="rId14"/>
          <w:pgSz w:w="11900" w:h="16840"/>
          <w:pgMar w:top="1418" w:right="1077" w:bottom="851" w:left="1077" w:header="1077" w:footer="1134" w:gutter="0"/>
          <w:pgNumType w:start="0"/>
          <w:cols w:space="708"/>
          <w:titlePg/>
          <w:docGrid w:linePitch="360"/>
        </w:sectPr>
      </w:pPr>
    </w:p>
    <w:p w:rsidR="001C1253" w:rsidRPr="00426124" w:rsidRDefault="001C1253" w:rsidP="004C388D">
      <w:pPr>
        <w:pStyle w:val="Heading1"/>
        <w:spacing w:before="240" w:after="120"/>
        <w:rPr>
          <w:rFonts w:ascii="Arial" w:hAnsi="Arial" w:cs="Arial"/>
          <w:color w:val="1F497D" w:themeColor="text2"/>
        </w:rPr>
      </w:pPr>
      <w:r w:rsidRPr="00426124">
        <w:rPr>
          <w:rFonts w:ascii="Arial" w:hAnsi="Arial" w:cs="Arial"/>
          <w:color w:val="1F497D" w:themeColor="text2"/>
        </w:rPr>
        <w:lastRenderedPageBreak/>
        <w:t xml:space="preserve">The Australian Cross Disability Alliance </w:t>
      </w:r>
    </w:p>
    <w:p w:rsidR="001C1253" w:rsidRPr="00C86982" w:rsidRDefault="001C1253" w:rsidP="002524BD">
      <w:pPr>
        <w:spacing w:after="120" w:line="240" w:lineRule="auto"/>
        <w:rPr>
          <w:rFonts w:asciiTheme="majorHAnsi" w:hAnsiTheme="majorHAnsi" w:cstheme="majorHAnsi"/>
          <w:sz w:val="24"/>
          <w:szCs w:val="24"/>
        </w:rPr>
      </w:pPr>
      <w:r w:rsidRPr="00C86982">
        <w:rPr>
          <w:rFonts w:asciiTheme="majorHAnsi" w:hAnsiTheme="majorHAnsi" w:cstheme="majorHAnsi"/>
          <w:sz w:val="24"/>
          <w:szCs w:val="24"/>
        </w:rPr>
        <w:t>The Australian Cross Disability Alliance (ACDA) is</w:t>
      </w:r>
      <w:r w:rsidR="00992459" w:rsidRPr="00C86982">
        <w:rPr>
          <w:rFonts w:asciiTheme="majorHAnsi" w:hAnsiTheme="majorHAnsi" w:cstheme="majorHAnsi"/>
          <w:sz w:val="24"/>
          <w:szCs w:val="24"/>
        </w:rPr>
        <w:t xml:space="preserve"> an </w:t>
      </w:r>
      <w:r w:rsidRPr="00C86982">
        <w:rPr>
          <w:rFonts w:asciiTheme="majorHAnsi" w:hAnsiTheme="majorHAnsi" w:cstheme="majorHAnsi"/>
          <w:sz w:val="24"/>
          <w:szCs w:val="24"/>
        </w:rPr>
        <w:t xml:space="preserve">alliance of national </w:t>
      </w:r>
      <w:r w:rsidR="00992459" w:rsidRPr="00C86982">
        <w:rPr>
          <w:rFonts w:asciiTheme="majorHAnsi" w:hAnsiTheme="majorHAnsi" w:cstheme="majorHAnsi"/>
          <w:sz w:val="24"/>
          <w:szCs w:val="24"/>
        </w:rPr>
        <w:t>D</w:t>
      </w:r>
      <w:r w:rsidRPr="00C86982">
        <w:rPr>
          <w:rFonts w:asciiTheme="majorHAnsi" w:hAnsiTheme="majorHAnsi" w:cstheme="majorHAnsi"/>
          <w:sz w:val="24"/>
          <w:szCs w:val="24"/>
        </w:rPr>
        <w:t xml:space="preserve">isabled </w:t>
      </w:r>
      <w:r w:rsidR="00992459" w:rsidRPr="00C86982">
        <w:rPr>
          <w:rFonts w:asciiTheme="majorHAnsi" w:hAnsiTheme="majorHAnsi" w:cstheme="majorHAnsi"/>
          <w:sz w:val="24"/>
          <w:szCs w:val="24"/>
        </w:rPr>
        <w:t>P</w:t>
      </w:r>
      <w:r w:rsidRPr="00C86982">
        <w:rPr>
          <w:rFonts w:asciiTheme="majorHAnsi" w:hAnsiTheme="majorHAnsi" w:cstheme="majorHAnsi"/>
          <w:sz w:val="24"/>
          <w:szCs w:val="24"/>
        </w:rPr>
        <w:t xml:space="preserve">eople’s </w:t>
      </w:r>
      <w:r w:rsidR="00992459" w:rsidRPr="00C86982">
        <w:rPr>
          <w:rFonts w:asciiTheme="majorHAnsi" w:hAnsiTheme="majorHAnsi" w:cstheme="majorHAnsi"/>
          <w:sz w:val="24"/>
          <w:szCs w:val="24"/>
        </w:rPr>
        <w:t>O</w:t>
      </w:r>
      <w:r w:rsidRPr="00C86982">
        <w:rPr>
          <w:rFonts w:asciiTheme="majorHAnsi" w:hAnsiTheme="majorHAnsi" w:cstheme="majorHAnsi"/>
          <w:sz w:val="24"/>
          <w:szCs w:val="24"/>
        </w:rPr>
        <w:t>rganisations (DPOs) in Australia. The key purpose of the ACDA is to promote, protect and advance the human rights and freedoms of people with disability in Australia by working collaboratively on areas of shared interests, purposes and strategi</w:t>
      </w:r>
      <w:r w:rsidR="00C86982">
        <w:rPr>
          <w:rFonts w:asciiTheme="majorHAnsi" w:hAnsiTheme="majorHAnsi" w:cstheme="majorHAnsi"/>
          <w:sz w:val="24"/>
          <w:szCs w:val="24"/>
        </w:rPr>
        <w:t xml:space="preserve">c priorities and opportunities. </w:t>
      </w:r>
      <w:r w:rsidRPr="00C86982">
        <w:rPr>
          <w:rFonts w:asciiTheme="majorHAnsi" w:hAnsiTheme="majorHAnsi" w:cstheme="majorHAnsi"/>
          <w:sz w:val="24"/>
          <w:szCs w:val="24"/>
        </w:rPr>
        <w:t>The ACDA was founded by, and is made up of four national cross-disability DPOs</w:t>
      </w:r>
      <w:r w:rsidR="00C86982" w:rsidRPr="00C86982">
        <w:rPr>
          <w:rFonts w:asciiTheme="majorHAnsi" w:hAnsiTheme="majorHAnsi" w:cstheme="majorHAnsi"/>
          <w:sz w:val="24"/>
          <w:szCs w:val="24"/>
        </w:rPr>
        <w:t xml:space="preserve"> that have</w:t>
      </w:r>
      <w:r w:rsidRPr="00C86982">
        <w:rPr>
          <w:rFonts w:asciiTheme="majorHAnsi" w:hAnsiTheme="majorHAnsi" w:cstheme="majorHAnsi"/>
          <w:sz w:val="24"/>
          <w:szCs w:val="24"/>
        </w:rPr>
        <w:t xml:space="preserve"> been funded by the Australian Government to be the recognised coordinating point between Government/s and other stakeholders, for consultation and engagement with people with disability in Australia. In forming the ACDA, its four founding member organisations recognise and value the strength of working together in a spirit of mutual respect and trust, to proactively pursue human rights outcomes for all people with disability in Australia.</w:t>
      </w:r>
      <w:r w:rsidR="00C86982" w:rsidRPr="00C86982">
        <w:rPr>
          <w:rFonts w:asciiTheme="majorHAnsi" w:hAnsiTheme="majorHAnsi" w:cstheme="majorHAnsi"/>
          <w:sz w:val="24"/>
          <w:szCs w:val="24"/>
        </w:rPr>
        <w:t xml:space="preserve">  The four ACDA members are:</w:t>
      </w:r>
    </w:p>
    <w:p w:rsidR="001C1253" w:rsidRPr="00C86982" w:rsidRDefault="00045F9B" w:rsidP="00C86982">
      <w:pPr>
        <w:spacing w:after="120" w:line="240" w:lineRule="auto"/>
        <w:ind w:right="49"/>
        <w:rPr>
          <w:rFonts w:asciiTheme="majorHAnsi" w:hAnsiTheme="majorHAnsi" w:cstheme="majorHAnsi"/>
          <w:sz w:val="24"/>
          <w:szCs w:val="24"/>
        </w:rPr>
      </w:pPr>
      <w:hyperlink r:id="rId15" w:history="1">
        <w:r w:rsidR="001C1253" w:rsidRPr="00C86982">
          <w:rPr>
            <w:rStyle w:val="Hyperlink"/>
            <w:rFonts w:asciiTheme="majorHAnsi" w:hAnsiTheme="majorHAnsi" w:cstheme="majorHAnsi"/>
            <w:sz w:val="24"/>
            <w:szCs w:val="24"/>
          </w:rPr>
          <w:t>Women With Disabilities Australia (WWDA)</w:t>
        </w:r>
      </w:hyperlink>
      <w:r w:rsidR="001C1253" w:rsidRPr="00C86982">
        <w:rPr>
          <w:rFonts w:asciiTheme="majorHAnsi" w:hAnsiTheme="majorHAnsi" w:cstheme="majorHAnsi"/>
          <w:sz w:val="24"/>
          <w:szCs w:val="24"/>
        </w:rPr>
        <w:t xml:space="preserve"> is the national cross-disability DPO for women and girls with all types of disabilities in Australia. It operates as a transnational human rights organisation and is run by women with disabilities, for women with disabilities. WWDA’s work is grounded in a human rights based framework which links gender and disability issues to a full range of civil, political, economic, social and cultural rights.</w:t>
      </w:r>
    </w:p>
    <w:p w:rsidR="001C1253" w:rsidRPr="00C86982" w:rsidRDefault="00045F9B" w:rsidP="00C86982">
      <w:pPr>
        <w:spacing w:after="120" w:line="240" w:lineRule="auto"/>
        <w:ind w:right="49"/>
        <w:rPr>
          <w:rFonts w:asciiTheme="majorHAnsi" w:hAnsiTheme="majorHAnsi" w:cstheme="majorHAnsi"/>
          <w:sz w:val="24"/>
          <w:szCs w:val="24"/>
        </w:rPr>
      </w:pPr>
      <w:hyperlink r:id="rId16" w:history="1">
        <w:r w:rsidR="001C1253" w:rsidRPr="00C86982">
          <w:rPr>
            <w:rStyle w:val="Hyperlink"/>
            <w:rFonts w:asciiTheme="majorHAnsi" w:hAnsiTheme="majorHAnsi" w:cstheme="majorHAnsi"/>
            <w:sz w:val="24"/>
            <w:szCs w:val="24"/>
          </w:rPr>
          <w:t>First Peoples Disability Network Australia (FPDNA)</w:t>
        </w:r>
      </w:hyperlink>
      <w:r w:rsidR="001C1253" w:rsidRPr="00C86982">
        <w:rPr>
          <w:rFonts w:asciiTheme="majorHAnsi" w:hAnsiTheme="majorHAnsi" w:cstheme="majorHAnsi"/>
          <w:sz w:val="24"/>
          <w:szCs w:val="24"/>
        </w:rPr>
        <w:t xml:space="preserve"> is the national cross-disability DPO representing Aboriginal and Torres Strait Islander people with disability and their families. FPDNA utilises a range of strategies in its representative role, including through the provision of high-level advice to governments, and educating the government and non-government sectors about how to meet the unmet needs of Aboriginal and Torres Strait Islander people with disability.</w:t>
      </w:r>
    </w:p>
    <w:p w:rsidR="001C1253" w:rsidRPr="00C86982" w:rsidRDefault="00045F9B" w:rsidP="00C86982">
      <w:pPr>
        <w:spacing w:after="120" w:line="240" w:lineRule="auto"/>
        <w:ind w:right="49"/>
        <w:rPr>
          <w:rFonts w:asciiTheme="majorHAnsi" w:hAnsiTheme="majorHAnsi" w:cstheme="majorHAnsi"/>
          <w:sz w:val="24"/>
          <w:szCs w:val="24"/>
        </w:rPr>
      </w:pPr>
      <w:hyperlink r:id="rId17" w:history="1">
        <w:r w:rsidR="001C1253" w:rsidRPr="00C86982">
          <w:rPr>
            <w:rStyle w:val="Hyperlink"/>
            <w:rFonts w:asciiTheme="majorHAnsi" w:hAnsiTheme="majorHAnsi" w:cstheme="majorHAnsi"/>
            <w:sz w:val="24"/>
            <w:szCs w:val="24"/>
          </w:rPr>
          <w:t>People with Disability Australia (PWDA)</w:t>
        </w:r>
      </w:hyperlink>
      <w:r w:rsidR="00992459" w:rsidRPr="00C86982">
        <w:rPr>
          <w:rFonts w:asciiTheme="majorHAnsi" w:hAnsiTheme="majorHAnsi" w:cstheme="majorHAnsi"/>
          <w:sz w:val="24"/>
          <w:szCs w:val="24"/>
        </w:rPr>
        <w:t xml:space="preserve"> is the national cross </w:t>
      </w:r>
      <w:r w:rsidR="001C1253" w:rsidRPr="00C86982">
        <w:rPr>
          <w:rFonts w:asciiTheme="majorHAnsi" w:hAnsiTheme="majorHAnsi" w:cstheme="majorHAnsi"/>
          <w:sz w:val="24"/>
          <w:szCs w:val="24"/>
        </w:rPr>
        <w:t>disability rights and advocacy organisation run by and for people with disability. Working within a human rights framework, PWDA represents the interests of people with all kinds of disability. Its primary membership is made up of people with disability and organisations primarily constituted by people with disability. It also has a large associate membership of other individuals and organisations committed to the disability rights movement.</w:t>
      </w:r>
    </w:p>
    <w:p w:rsidR="001C1253" w:rsidRPr="00C86982" w:rsidRDefault="00045F9B" w:rsidP="00C86982">
      <w:pPr>
        <w:spacing w:after="120" w:line="240" w:lineRule="auto"/>
        <w:ind w:right="49"/>
        <w:rPr>
          <w:rFonts w:asciiTheme="majorHAnsi" w:hAnsiTheme="majorHAnsi" w:cstheme="majorHAnsi"/>
          <w:sz w:val="24"/>
          <w:szCs w:val="24"/>
        </w:rPr>
      </w:pPr>
      <w:hyperlink r:id="rId18" w:history="1">
        <w:r w:rsidR="001C1253" w:rsidRPr="00C86982">
          <w:rPr>
            <w:rStyle w:val="Hyperlink"/>
            <w:rFonts w:asciiTheme="majorHAnsi" w:hAnsiTheme="majorHAnsi" w:cstheme="majorHAnsi"/>
            <w:sz w:val="24"/>
            <w:szCs w:val="24"/>
          </w:rPr>
          <w:t>National Ethnic Disability Alliance (NEDA)</w:t>
        </w:r>
      </w:hyperlink>
      <w:r w:rsidR="001C1253" w:rsidRPr="00C86982">
        <w:rPr>
          <w:rFonts w:asciiTheme="majorHAnsi" w:hAnsiTheme="majorHAnsi" w:cstheme="majorHAnsi"/>
          <w:sz w:val="24"/>
          <w:szCs w:val="24"/>
        </w:rPr>
        <w:t xml:space="preserve"> is the national peak organisation representing the rights and interests of people from Culturally and Linguistically Diverse (CALD/NESB) people with disability, their families and carers throughout Australia. NEDA advocates at the federal level so that CALD/NESB people with disability can participate fully in all aspects of social, economic, political and cultural life.</w:t>
      </w:r>
    </w:p>
    <w:p w:rsidR="001C1253" w:rsidRPr="00C86982" w:rsidRDefault="001C1253" w:rsidP="00C86982">
      <w:pPr>
        <w:pStyle w:val="NoSpacing"/>
        <w:rPr>
          <w:rFonts w:asciiTheme="majorHAnsi" w:hAnsiTheme="majorHAnsi" w:cstheme="majorHAnsi"/>
          <w:szCs w:val="24"/>
        </w:rPr>
      </w:pPr>
      <w:r w:rsidRPr="00C86982">
        <w:rPr>
          <w:rFonts w:asciiTheme="majorHAnsi" w:hAnsiTheme="majorHAnsi" w:cstheme="majorHAnsi"/>
          <w:szCs w:val="24"/>
        </w:rPr>
        <w:t>The key objectives of the ACDA are to:</w:t>
      </w:r>
    </w:p>
    <w:p w:rsidR="001C1253" w:rsidRPr="00C86982" w:rsidRDefault="001C1253" w:rsidP="00C86982">
      <w:pPr>
        <w:pStyle w:val="NoSpacing"/>
        <w:numPr>
          <w:ilvl w:val="0"/>
          <w:numId w:val="40"/>
        </w:numPr>
        <w:tabs>
          <w:tab w:val="left" w:pos="924"/>
          <w:tab w:val="left" w:pos="1848"/>
          <w:tab w:val="left" w:pos="2773"/>
          <w:tab w:val="left" w:pos="3697"/>
          <w:tab w:val="left" w:pos="4621"/>
          <w:tab w:val="left" w:pos="5545"/>
          <w:tab w:val="left" w:pos="6469"/>
          <w:tab w:val="left" w:pos="7394"/>
          <w:tab w:val="left" w:pos="8318"/>
          <w:tab w:val="right" w:pos="8930"/>
        </w:tabs>
        <w:spacing w:after="120"/>
        <w:ind w:left="284" w:hanging="284"/>
        <w:jc w:val="left"/>
        <w:rPr>
          <w:rFonts w:asciiTheme="majorHAnsi" w:hAnsiTheme="majorHAnsi" w:cstheme="majorHAnsi"/>
          <w:szCs w:val="24"/>
        </w:rPr>
      </w:pPr>
      <w:r w:rsidRPr="00C86982">
        <w:rPr>
          <w:rFonts w:asciiTheme="majorHAnsi" w:hAnsiTheme="majorHAnsi" w:cstheme="majorHAnsi"/>
          <w:szCs w:val="24"/>
        </w:rPr>
        <w:t>work to advance the rights of all people with disability from all walks of Australian life, in relevant policy frameworks, strategies, partnership agreements and any other relevant initiatives;</w:t>
      </w:r>
    </w:p>
    <w:p w:rsidR="001C1253" w:rsidRPr="00C86982" w:rsidRDefault="001C1253" w:rsidP="00C86982">
      <w:pPr>
        <w:pStyle w:val="NoSpacing"/>
        <w:numPr>
          <w:ilvl w:val="0"/>
          <w:numId w:val="40"/>
        </w:numPr>
        <w:tabs>
          <w:tab w:val="left" w:pos="924"/>
          <w:tab w:val="left" w:pos="1848"/>
          <w:tab w:val="left" w:pos="2773"/>
          <w:tab w:val="left" w:pos="3697"/>
          <w:tab w:val="left" w:pos="4621"/>
          <w:tab w:val="left" w:pos="5545"/>
          <w:tab w:val="left" w:pos="6469"/>
          <w:tab w:val="left" w:pos="7394"/>
          <w:tab w:val="left" w:pos="8318"/>
          <w:tab w:val="right" w:pos="8930"/>
        </w:tabs>
        <w:spacing w:after="120"/>
        <w:ind w:left="284" w:hanging="284"/>
        <w:jc w:val="left"/>
        <w:rPr>
          <w:rFonts w:asciiTheme="majorHAnsi" w:hAnsiTheme="majorHAnsi" w:cstheme="majorHAnsi"/>
          <w:szCs w:val="24"/>
        </w:rPr>
      </w:pPr>
      <w:r w:rsidRPr="00C86982">
        <w:rPr>
          <w:rFonts w:asciiTheme="majorHAnsi" w:hAnsiTheme="majorHAnsi" w:cstheme="majorHAnsi"/>
          <w:szCs w:val="24"/>
        </w:rPr>
        <w:t>promote and engender a collaborative, co-operative and respectful relationship with all levels of Government in the efforts of the ACDA to advance the human rights of people with disability;</w:t>
      </w:r>
    </w:p>
    <w:p w:rsidR="001C1253" w:rsidRPr="00C86982" w:rsidRDefault="001C1253" w:rsidP="00C86982">
      <w:pPr>
        <w:pStyle w:val="NoSpacing"/>
        <w:numPr>
          <w:ilvl w:val="0"/>
          <w:numId w:val="40"/>
        </w:numPr>
        <w:tabs>
          <w:tab w:val="left" w:pos="924"/>
          <w:tab w:val="left" w:pos="1848"/>
          <w:tab w:val="left" w:pos="2773"/>
          <w:tab w:val="left" w:pos="3697"/>
          <w:tab w:val="left" w:pos="4621"/>
          <w:tab w:val="left" w:pos="5545"/>
          <w:tab w:val="left" w:pos="6469"/>
          <w:tab w:val="left" w:pos="7394"/>
          <w:tab w:val="left" w:pos="8318"/>
          <w:tab w:val="right" w:pos="8930"/>
        </w:tabs>
        <w:spacing w:after="120"/>
        <w:ind w:left="284" w:hanging="284"/>
        <w:jc w:val="left"/>
        <w:rPr>
          <w:rFonts w:asciiTheme="majorHAnsi" w:hAnsiTheme="majorHAnsi" w:cstheme="majorHAnsi"/>
          <w:szCs w:val="24"/>
        </w:rPr>
      </w:pPr>
      <w:r w:rsidRPr="00C86982">
        <w:rPr>
          <w:rFonts w:asciiTheme="majorHAnsi" w:hAnsiTheme="majorHAnsi" w:cstheme="majorHAnsi"/>
          <w:szCs w:val="24"/>
        </w:rPr>
        <w:t>build on and further develop networks, strategic alliances and partnerships at state/territory, national and international levels to advance human rights of people with disability;</w:t>
      </w:r>
    </w:p>
    <w:p w:rsidR="001E0FD5" w:rsidRPr="001E0FD5" w:rsidRDefault="001C1253" w:rsidP="001E0FD5">
      <w:pPr>
        <w:pStyle w:val="NoSpacing"/>
        <w:numPr>
          <w:ilvl w:val="0"/>
          <w:numId w:val="40"/>
        </w:numPr>
        <w:tabs>
          <w:tab w:val="left" w:pos="924"/>
          <w:tab w:val="left" w:pos="1848"/>
          <w:tab w:val="left" w:pos="2773"/>
          <w:tab w:val="left" w:pos="3697"/>
          <w:tab w:val="left" w:pos="4621"/>
          <w:tab w:val="left" w:pos="5545"/>
          <w:tab w:val="left" w:pos="6469"/>
          <w:tab w:val="left" w:pos="7394"/>
          <w:tab w:val="left" w:pos="8318"/>
          <w:tab w:val="right" w:pos="8930"/>
        </w:tabs>
        <w:ind w:left="284" w:hanging="284"/>
        <w:jc w:val="left"/>
        <w:rPr>
          <w:rFonts w:asciiTheme="majorHAnsi" w:hAnsiTheme="majorHAnsi" w:cstheme="majorHAnsi"/>
          <w:szCs w:val="24"/>
        </w:rPr>
      </w:pPr>
      <w:r w:rsidRPr="00C86982">
        <w:rPr>
          <w:rFonts w:asciiTheme="majorHAnsi" w:hAnsiTheme="majorHAnsi" w:cstheme="majorHAnsi"/>
          <w:szCs w:val="24"/>
        </w:rPr>
        <w:t>promote the ACDA at national and international levels as the coordinating point for engagement with the Australian DPO sector; and build respect for, appreciation of, and faith in the DPO sector in Australia.</w:t>
      </w:r>
    </w:p>
    <w:p w:rsidR="00C86982" w:rsidRDefault="00C86982" w:rsidP="000153DE">
      <w:pPr>
        <w:pStyle w:val="NoSpacing"/>
        <w:tabs>
          <w:tab w:val="left" w:pos="924"/>
          <w:tab w:val="left" w:pos="1848"/>
          <w:tab w:val="left" w:pos="2773"/>
          <w:tab w:val="left" w:pos="3697"/>
          <w:tab w:val="left" w:pos="4621"/>
          <w:tab w:val="left" w:pos="5545"/>
          <w:tab w:val="left" w:pos="6469"/>
          <w:tab w:val="left" w:pos="7394"/>
          <w:tab w:val="left" w:pos="8318"/>
          <w:tab w:val="right" w:pos="8930"/>
        </w:tabs>
        <w:spacing w:after="120"/>
        <w:jc w:val="left"/>
        <w:rPr>
          <w:rFonts w:ascii="Arial" w:hAnsi="Arial" w:cs="Arial"/>
          <w:b/>
          <w:sz w:val="28"/>
          <w:szCs w:val="28"/>
        </w:rPr>
        <w:sectPr w:rsidR="00C86982" w:rsidSect="001E0FD5">
          <w:pgSz w:w="11900" w:h="16840"/>
          <w:pgMar w:top="1134" w:right="964" w:bottom="851" w:left="964" w:header="1077" w:footer="1134" w:gutter="0"/>
          <w:cols w:space="708"/>
          <w:titlePg/>
          <w:docGrid w:linePitch="360"/>
        </w:sectPr>
      </w:pPr>
    </w:p>
    <w:p w:rsidR="001C1253" w:rsidRPr="00426124" w:rsidRDefault="001C1253" w:rsidP="000153DE">
      <w:pPr>
        <w:pStyle w:val="NoSpacing"/>
        <w:tabs>
          <w:tab w:val="left" w:pos="924"/>
          <w:tab w:val="left" w:pos="1848"/>
          <w:tab w:val="left" w:pos="2773"/>
          <w:tab w:val="left" w:pos="3697"/>
          <w:tab w:val="left" w:pos="4621"/>
          <w:tab w:val="left" w:pos="5545"/>
          <w:tab w:val="left" w:pos="6469"/>
          <w:tab w:val="left" w:pos="7394"/>
          <w:tab w:val="left" w:pos="8318"/>
          <w:tab w:val="right" w:pos="8930"/>
        </w:tabs>
        <w:spacing w:after="120"/>
        <w:jc w:val="left"/>
        <w:rPr>
          <w:rFonts w:ascii="Arial" w:hAnsi="Arial" w:cs="Arial"/>
          <w:b/>
          <w:color w:val="1F497D" w:themeColor="text2"/>
          <w:sz w:val="28"/>
          <w:szCs w:val="28"/>
        </w:rPr>
      </w:pPr>
      <w:r w:rsidRPr="00426124">
        <w:rPr>
          <w:rFonts w:ascii="Arial" w:hAnsi="Arial" w:cs="Arial"/>
          <w:b/>
          <w:color w:val="1F497D" w:themeColor="text2"/>
          <w:sz w:val="28"/>
          <w:szCs w:val="28"/>
        </w:rPr>
        <w:lastRenderedPageBreak/>
        <w:t>Introduction</w:t>
      </w:r>
    </w:p>
    <w:p w:rsidR="001C1253" w:rsidRDefault="001C1253" w:rsidP="001C1253">
      <w:pPr>
        <w:numPr>
          <w:ilvl w:val="0"/>
          <w:numId w:val="3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26" w:hanging="426"/>
        <w:contextualSpacing/>
        <w:jc w:val="both"/>
        <w:rPr>
          <w:rFonts w:cs="Arial"/>
          <w:color w:val="000000"/>
          <w:sz w:val="24"/>
          <w:szCs w:val="24"/>
        </w:rPr>
      </w:pPr>
      <w:r w:rsidRPr="0054190C">
        <w:rPr>
          <w:rFonts w:cs="Arial"/>
          <w:sz w:val="24"/>
          <w:szCs w:val="24"/>
        </w:rPr>
        <w:t xml:space="preserve">This submission provides an overview of the circumstances </w:t>
      </w:r>
      <w:r>
        <w:rPr>
          <w:rFonts w:cs="Arial"/>
          <w:sz w:val="24"/>
          <w:szCs w:val="24"/>
        </w:rPr>
        <w:t xml:space="preserve">leading to </w:t>
      </w:r>
      <w:r w:rsidRPr="0054190C">
        <w:rPr>
          <w:rFonts w:cs="Arial"/>
          <w:sz w:val="24"/>
          <w:szCs w:val="24"/>
        </w:rPr>
        <w:t xml:space="preserve">and consequences of indefinite detention of people with cognitive and psychosocial disability in Australia. In doing so it uses information previously published in </w:t>
      </w:r>
      <w:r w:rsidRPr="00864F4D">
        <w:rPr>
          <w:rFonts w:cs="Arial"/>
          <w:i/>
          <w:color w:val="000000"/>
          <w:sz w:val="24"/>
          <w:szCs w:val="24"/>
        </w:rPr>
        <w:t>Disability Rights Now</w:t>
      </w:r>
      <w:r w:rsidRPr="0054190C">
        <w:rPr>
          <w:rFonts w:cs="Arial"/>
          <w:color w:val="000000"/>
          <w:sz w:val="24"/>
          <w:szCs w:val="24"/>
          <w:vertAlign w:val="superscript"/>
        </w:rPr>
        <w:footnoteReference w:id="1"/>
      </w:r>
      <w:r w:rsidRPr="0054190C">
        <w:rPr>
          <w:rFonts w:cs="Arial"/>
          <w:color w:val="000000"/>
          <w:sz w:val="24"/>
          <w:szCs w:val="24"/>
        </w:rPr>
        <w:t xml:space="preserve">, the civil society report on the Convention on the Rights of Persons with Disabilities (CRPD), 2012.  </w:t>
      </w:r>
      <w:r w:rsidR="00864F4D" w:rsidRPr="00864F4D">
        <w:rPr>
          <w:rFonts w:cs="Arial"/>
          <w:i/>
          <w:color w:val="000000"/>
          <w:sz w:val="24"/>
          <w:szCs w:val="24"/>
        </w:rPr>
        <w:t>Disability</w:t>
      </w:r>
      <w:r w:rsidRPr="00864F4D">
        <w:rPr>
          <w:rFonts w:cs="Arial"/>
          <w:i/>
          <w:color w:val="000000"/>
          <w:sz w:val="24"/>
          <w:szCs w:val="24"/>
        </w:rPr>
        <w:t xml:space="preserve"> Rights Now</w:t>
      </w:r>
      <w:r w:rsidRPr="0054190C">
        <w:rPr>
          <w:rFonts w:cs="Arial"/>
          <w:color w:val="000000"/>
          <w:sz w:val="24"/>
          <w:szCs w:val="24"/>
        </w:rPr>
        <w:t xml:space="preserve"> was compiled from consultations with people with disability and their representative and advocacy organisations, evidence from government and community initiated inquiries, and various reports and submissions produced by civil society involved in the protection and promotion of human rights for people with disability. </w:t>
      </w:r>
      <w:r w:rsidR="00235596">
        <w:rPr>
          <w:rFonts w:cs="Arial"/>
          <w:color w:val="000000"/>
          <w:sz w:val="24"/>
          <w:szCs w:val="24"/>
        </w:rPr>
        <w:t>It</w:t>
      </w:r>
      <w:r w:rsidRPr="0054190C">
        <w:rPr>
          <w:rFonts w:cs="Arial"/>
          <w:color w:val="000000"/>
          <w:sz w:val="24"/>
          <w:szCs w:val="24"/>
        </w:rPr>
        <w:t xml:space="preserve"> was primarily drafted by eight D</w:t>
      </w:r>
      <w:r w:rsidR="00235596">
        <w:rPr>
          <w:rFonts w:cs="Arial"/>
          <w:color w:val="000000"/>
          <w:sz w:val="24"/>
          <w:szCs w:val="24"/>
        </w:rPr>
        <w:t xml:space="preserve">POs and </w:t>
      </w:r>
      <w:r w:rsidRPr="0054190C">
        <w:rPr>
          <w:rFonts w:cs="Arial"/>
          <w:color w:val="000000"/>
          <w:sz w:val="24"/>
          <w:szCs w:val="24"/>
        </w:rPr>
        <w:t xml:space="preserve">disability advocacy organisations and received over eighty endorsements.  </w:t>
      </w:r>
    </w:p>
    <w:p w:rsidR="004077A8" w:rsidRDefault="004077A8" w:rsidP="004077A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26"/>
        <w:contextualSpacing/>
        <w:jc w:val="both"/>
        <w:rPr>
          <w:rFonts w:cs="Arial"/>
          <w:color w:val="000000"/>
          <w:sz w:val="24"/>
          <w:szCs w:val="24"/>
        </w:rPr>
      </w:pPr>
    </w:p>
    <w:p w:rsidR="00C86982" w:rsidRPr="004077A8" w:rsidRDefault="001C1253" w:rsidP="004077A8">
      <w:pPr>
        <w:numPr>
          <w:ilvl w:val="0"/>
          <w:numId w:val="3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26" w:hanging="426"/>
        <w:contextualSpacing/>
        <w:jc w:val="both"/>
        <w:rPr>
          <w:rFonts w:cs="Arial"/>
          <w:color w:val="000000"/>
          <w:sz w:val="24"/>
          <w:szCs w:val="24"/>
        </w:rPr>
      </w:pPr>
      <w:r w:rsidRPr="004077A8">
        <w:rPr>
          <w:rFonts w:cs="Arial"/>
          <w:sz w:val="24"/>
          <w:szCs w:val="24"/>
        </w:rPr>
        <w:t xml:space="preserve">The submission </w:t>
      </w:r>
      <w:r w:rsidRPr="004077A8">
        <w:rPr>
          <w:rFonts w:cs="Arial"/>
          <w:color w:val="000000"/>
          <w:sz w:val="24"/>
          <w:szCs w:val="24"/>
        </w:rPr>
        <w:t xml:space="preserve">also </w:t>
      </w:r>
      <w:r w:rsidR="003E4E2E">
        <w:rPr>
          <w:rFonts w:cs="Arial"/>
          <w:color w:val="000000"/>
          <w:sz w:val="24"/>
          <w:szCs w:val="24"/>
        </w:rPr>
        <w:t>incorporates</w:t>
      </w:r>
      <w:r w:rsidR="004077A8" w:rsidRPr="004077A8">
        <w:rPr>
          <w:rFonts w:cs="Arial"/>
          <w:color w:val="000000"/>
          <w:sz w:val="24"/>
          <w:szCs w:val="24"/>
        </w:rPr>
        <w:t xml:space="preserve"> the </w:t>
      </w:r>
      <w:r w:rsidR="004B2408" w:rsidRPr="004077A8">
        <w:rPr>
          <w:rFonts w:cs="Arial"/>
          <w:sz w:val="24"/>
          <w:szCs w:val="24"/>
        </w:rPr>
        <w:t xml:space="preserve"> work of </w:t>
      </w:r>
      <w:r w:rsidRPr="004077A8">
        <w:rPr>
          <w:rFonts w:cs="Arial"/>
          <w:sz w:val="24"/>
          <w:szCs w:val="24"/>
        </w:rPr>
        <w:t xml:space="preserve">ACDA </w:t>
      </w:r>
      <w:r w:rsidR="004B2408" w:rsidRPr="004077A8">
        <w:rPr>
          <w:rFonts w:cs="Arial"/>
          <w:sz w:val="24"/>
          <w:szCs w:val="24"/>
        </w:rPr>
        <w:t xml:space="preserve">members </w:t>
      </w:r>
      <w:r w:rsidRPr="004077A8">
        <w:rPr>
          <w:rFonts w:cs="Arial"/>
          <w:sz w:val="24"/>
          <w:szCs w:val="24"/>
        </w:rPr>
        <w:t xml:space="preserve">on issues pertinent to indefinite detention of people with disability including the </w:t>
      </w:r>
      <w:hyperlink r:id="rId19" w:history="1">
        <w:r w:rsidRPr="004077A8">
          <w:rPr>
            <w:rStyle w:val="Hyperlink"/>
            <w:rFonts w:cs="Arial"/>
            <w:sz w:val="24"/>
            <w:szCs w:val="24"/>
          </w:rPr>
          <w:t>Submission to the Senate Inquiry into Violence against People with Disability</w:t>
        </w:r>
      </w:hyperlink>
      <w:r w:rsidRPr="004077A8">
        <w:rPr>
          <w:rFonts w:cs="Arial"/>
          <w:sz w:val="24"/>
          <w:szCs w:val="24"/>
        </w:rPr>
        <w:t xml:space="preserve">, ACDA 2015; the </w:t>
      </w:r>
      <w:hyperlink r:id="rId20" w:history="1">
        <w:r w:rsidRPr="004077A8">
          <w:rPr>
            <w:rStyle w:val="Hyperlink"/>
            <w:rFonts w:cs="Arial"/>
            <w:sz w:val="24"/>
            <w:szCs w:val="24"/>
          </w:rPr>
          <w:t>Shadow Report to the Committee Against Torture (CAT)</w:t>
        </w:r>
      </w:hyperlink>
      <w:r w:rsidRPr="004077A8">
        <w:rPr>
          <w:rFonts w:cs="Arial"/>
          <w:sz w:val="24"/>
          <w:szCs w:val="24"/>
        </w:rPr>
        <w:t xml:space="preserve">, PWDA 2014; </w:t>
      </w:r>
      <w:hyperlink r:id="rId21" w:history="1">
        <w:r w:rsidRPr="004077A8">
          <w:rPr>
            <w:rStyle w:val="Hyperlink"/>
            <w:rFonts w:cs="Arial"/>
            <w:sz w:val="24"/>
            <w:szCs w:val="24"/>
          </w:rPr>
          <w:t>Submissions to the Australian Law Reform Commission (ALRC) Inquiry into Equality, Capacity and Disability</w:t>
        </w:r>
      </w:hyperlink>
      <w:r w:rsidRPr="004077A8">
        <w:rPr>
          <w:rFonts w:cs="Arial"/>
          <w:sz w:val="24"/>
          <w:szCs w:val="24"/>
        </w:rPr>
        <w:t xml:space="preserve">, PWDA 2014; representations made during the </w:t>
      </w:r>
      <w:hyperlink r:id="rId22" w:history="1">
        <w:r w:rsidRPr="004077A8">
          <w:rPr>
            <w:rStyle w:val="Hyperlink"/>
            <w:rFonts w:cs="Arial"/>
            <w:sz w:val="24"/>
            <w:szCs w:val="24"/>
          </w:rPr>
          <w:t>United Nations Human Rights Council Universal Periodic Review</w:t>
        </w:r>
      </w:hyperlink>
      <w:r w:rsidRPr="004077A8">
        <w:rPr>
          <w:rFonts w:cs="Arial"/>
          <w:sz w:val="24"/>
          <w:szCs w:val="24"/>
        </w:rPr>
        <w:t xml:space="preserve"> (UPR) of Australia, ACDA 2015; </w:t>
      </w:r>
      <w:r w:rsidR="004D48CC" w:rsidRPr="004077A8">
        <w:rPr>
          <w:rFonts w:cs="Arial"/>
          <w:sz w:val="24"/>
          <w:szCs w:val="24"/>
        </w:rPr>
        <w:t xml:space="preserve">and the report, </w:t>
      </w:r>
      <w:hyperlink r:id="rId23" w:history="1">
        <w:r w:rsidR="004D48CC" w:rsidRPr="004077A8">
          <w:rPr>
            <w:rStyle w:val="Hyperlink"/>
            <w:rFonts w:cs="Arial"/>
            <w:i/>
            <w:sz w:val="24"/>
            <w:szCs w:val="24"/>
          </w:rPr>
          <w:t>The Plight of People Living with Disabilities within Australian Immigration Detention: Demonised, Detained and Disowned</w:t>
        </w:r>
      </w:hyperlink>
      <w:r w:rsidR="004D48CC" w:rsidRPr="004077A8">
        <w:rPr>
          <w:rFonts w:cs="Arial"/>
          <w:sz w:val="24"/>
          <w:szCs w:val="24"/>
        </w:rPr>
        <w:t xml:space="preserve">, </w:t>
      </w:r>
      <w:r w:rsidR="001D55BE" w:rsidRPr="004077A8">
        <w:rPr>
          <w:rFonts w:cs="Arial"/>
          <w:sz w:val="24"/>
          <w:szCs w:val="24"/>
        </w:rPr>
        <w:t xml:space="preserve">NEDA </w:t>
      </w:r>
      <w:r w:rsidR="004D48CC" w:rsidRPr="004077A8">
        <w:rPr>
          <w:rFonts w:cs="Arial"/>
          <w:sz w:val="24"/>
          <w:szCs w:val="24"/>
        </w:rPr>
        <w:t>2015</w:t>
      </w:r>
      <w:r w:rsidR="004077A8" w:rsidRPr="004077A8">
        <w:rPr>
          <w:rFonts w:cs="Arial"/>
          <w:sz w:val="24"/>
          <w:szCs w:val="24"/>
        </w:rPr>
        <w:t xml:space="preserve">.  </w:t>
      </w:r>
    </w:p>
    <w:p w:rsidR="004077A8" w:rsidRPr="004077A8" w:rsidRDefault="004077A8" w:rsidP="004077A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26"/>
        <w:contextualSpacing/>
        <w:jc w:val="both"/>
        <w:rPr>
          <w:rFonts w:cs="Arial"/>
          <w:color w:val="000000"/>
          <w:sz w:val="24"/>
          <w:szCs w:val="24"/>
          <w:highlight w:val="yellow"/>
        </w:rPr>
      </w:pPr>
    </w:p>
    <w:p w:rsidR="00C86982" w:rsidRPr="00C86982" w:rsidRDefault="00235596" w:rsidP="001C1253">
      <w:pPr>
        <w:numPr>
          <w:ilvl w:val="0"/>
          <w:numId w:val="3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26" w:hanging="426"/>
        <w:contextualSpacing/>
        <w:jc w:val="both"/>
        <w:rPr>
          <w:rFonts w:cs="Arial"/>
          <w:color w:val="000000"/>
          <w:sz w:val="24"/>
          <w:szCs w:val="24"/>
        </w:rPr>
      </w:pPr>
      <w:r>
        <w:rPr>
          <w:rFonts w:cs="Arial"/>
          <w:color w:val="000000"/>
          <w:sz w:val="24"/>
          <w:szCs w:val="24"/>
        </w:rPr>
        <w:t xml:space="preserve">In relation to the specific circumstances of </w:t>
      </w:r>
      <w:r w:rsidR="00E37A32">
        <w:rPr>
          <w:rFonts w:cs="Arial"/>
          <w:color w:val="000000"/>
          <w:sz w:val="24"/>
          <w:szCs w:val="24"/>
        </w:rPr>
        <w:t xml:space="preserve">the indefinite detention of </w:t>
      </w:r>
      <w:r>
        <w:rPr>
          <w:rFonts w:cs="Arial"/>
          <w:color w:val="000000"/>
          <w:sz w:val="24"/>
          <w:szCs w:val="24"/>
        </w:rPr>
        <w:t xml:space="preserve">Aboriginal and Torres Strait Islander people with disability </w:t>
      </w:r>
      <w:r w:rsidR="00E37A32">
        <w:rPr>
          <w:rFonts w:cs="Arial"/>
          <w:color w:val="000000"/>
          <w:sz w:val="24"/>
          <w:szCs w:val="24"/>
        </w:rPr>
        <w:t xml:space="preserve">in the criminal justice system, the ACDA fully supports and endorses the submission made to this Inquiry by First Peoples Disability Justice Consortium, </w:t>
      </w:r>
      <w:r w:rsidR="00E37A32" w:rsidRPr="00E37A32">
        <w:rPr>
          <w:rFonts w:cs="Arial"/>
          <w:i/>
          <w:color w:val="000000"/>
          <w:sz w:val="24"/>
          <w:szCs w:val="24"/>
        </w:rPr>
        <w:t>Aboriginal and Torres Strait Islander Perspectives on the Recurrent and Indefinite Detention of People with Cognitive and Psychiatric Impairment</w:t>
      </w:r>
      <w:r w:rsidR="00E37A32">
        <w:rPr>
          <w:rFonts w:cs="Arial"/>
          <w:color w:val="000000"/>
          <w:sz w:val="24"/>
          <w:szCs w:val="24"/>
        </w:rPr>
        <w:t xml:space="preserve">.  This Consortium is an initiative of ACDA member, </w:t>
      </w:r>
      <w:r w:rsidR="00C644C7">
        <w:rPr>
          <w:rFonts w:cs="Arial"/>
          <w:color w:val="000000"/>
          <w:sz w:val="24"/>
          <w:szCs w:val="24"/>
        </w:rPr>
        <w:t xml:space="preserve">FPDN. </w:t>
      </w:r>
      <w:r w:rsidR="001F43C8">
        <w:rPr>
          <w:rFonts w:cs="Arial"/>
          <w:color w:val="000000"/>
          <w:sz w:val="24"/>
          <w:szCs w:val="24"/>
        </w:rPr>
        <w:t xml:space="preserve"> </w:t>
      </w:r>
    </w:p>
    <w:p w:rsidR="001C1253" w:rsidRPr="00BB3B83" w:rsidRDefault="001C1253" w:rsidP="001C125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contextualSpacing/>
        <w:jc w:val="both"/>
        <w:rPr>
          <w:rFonts w:cs="Arial"/>
          <w:color w:val="000000"/>
          <w:sz w:val="24"/>
          <w:szCs w:val="24"/>
        </w:rPr>
      </w:pPr>
    </w:p>
    <w:p w:rsidR="001C1253" w:rsidRPr="00441A8D" w:rsidRDefault="001C1253" w:rsidP="001C1253">
      <w:pPr>
        <w:numPr>
          <w:ilvl w:val="0"/>
          <w:numId w:val="3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26" w:hanging="426"/>
        <w:contextualSpacing/>
        <w:jc w:val="both"/>
        <w:rPr>
          <w:rFonts w:cs="Arial"/>
          <w:color w:val="000000"/>
          <w:sz w:val="24"/>
          <w:szCs w:val="24"/>
        </w:rPr>
      </w:pPr>
      <w:r w:rsidRPr="0054190C">
        <w:rPr>
          <w:rFonts w:cs="Arial"/>
          <w:color w:val="000000"/>
          <w:sz w:val="24"/>
          <w:szCs w:val="24"/>
        </w:rPr>
        <w:t xml:space="preserve">People with cognitive impairment and/or psychosocial disability in Australia experience </w:t>
      </w:r>
      <w:r>
        <w:rPr>
          <w:rFonts w:cs="Arial"/>
          <w:color w:val="000000"/>
          <w:sz w:val="24"/>
          <w:szCs w:val="24"/>
        </w:rPr>
        <w:t>extraordinary</w:t>
      </w:r>
      <w:r w:rsidRPr="0054190C">
        <w:rPr>
          <w:rFonts w:cs="Arial"/>
          <w:color w:val="000000"/>
          <w:sz w:val="24"/>
          <w:szCs w:val="24"/>
        </w:rPr>
        <w:t xml:space="preserve"> levels of direct and systemic discrimination and as a result multiple violations of their human rights, many characterised by </w:t>
      </w:r>
      <w:r w:rsidRPr="00441A8D">
        <w:rPr>
          <w:rFonts w:cs="Arial"/>
          <w:color w:val="000000"/>
          <w:sz w:val="24"/>
          <w:szCs w:val="24"/>
        </w:rPr>
        <w:t>violence and segregation</w:t>
      </w:r>
      <w:r w:rsidRPr="00441A8D">
        <w:rPr>
          <w:rStyle w:val="FootnoteReference"/>
          <w:rFonts w:cs="Arial"/>
          <w:color w:val="000000"/>
          <w:sz w:val="24"/>
          <w:szCs w:val="24"/>
        </w:rPr>
        <w:footnoteReference w:id="2"/>
      </w:r>
      <w:r w:rsidRPr="00441A8D">
        <w:rPr>
          <w:rFonts w:cs="Arial"/>
          <w:color w:val="000000"/>
          <w:sz w:val="24"/>
          <w:szCs w:val="24"/>
        </w:rPr>
        <w:t xml:space="preserve">. For those who come into contact with either the criminal justice or mental health systems their risk of detention based on the existence of actual or perceived disability is high. </w:t>
      </w:r>
      <w:r w:rsidRPr="00441A8D">
        <w:rPr>
          <w:sz w:val="24"/>
          <w:szCs w:val="24"/>
        </w:rPr>
        <w:t>National figures indicate at least half of the Australian prisoner population has some form of psychosocial, cognitive or physical impairment,</w:t>
      </w:r>
      <w:r w:rsidRPr="00441A8D">
        <w:rPr>
          <w:rStyle w:val="FootnoteReference"/>
          <w:sz w:val="24"/>
          <w:szCs w:val="24"/>
        </w:rPr>
        <w:footnoteReference w:id="3"/>
      </w:r>
      <w:r w:rsidRPr="00441A8D">
        <w:rPr>
          <w:sz w:val="24"/>
          <w:szCs w:val="24"/>
        </w:rPr>
        <w:t xml:space="preserve"> and the number of prisoners with disability entering or leaving Australian prisons throughout a year is in the tens of thousands.</w:t>
      </w:r>
      <w:r w:rsidRPr="00441A8D">
        <w:rPr>
          <w:rStyle w:val="FootnoteReference"/>
          <w:sz w:val="24"/>
          <w:szCs w:val="24"/>
        </w:rPr>
        <w:footnoteReference w:id="4"/>
      </w:r>
      <w:r w:rsidRPr="00441A8D">
        <w:rPr>
          <w:sz w:val="24"/>
          <w:szCs w:val="24"/>
        </w:rPr>
        <w:t xml:space="preserve"> </w:t>
      </w:r>
      <w:r w:rsidRPr="00441A8D">
        <w:rPr>
          <w:rFonts w:cs="Arial"/>
          <w:sz w:val="24"/>
          <w:szCs w:val="24"/>
        </w:rPr>
        <w:t xml:space="preserve">Approximately 150 people </w:t>
      </w:r>
      <w:r w:rsidRPr="00441A8D">
        <w:rPr>
          <w:rFonts w:cs="Arial"/>
          <w:sz w:val="24"/>
          <w:szCs w:val="24"/>
        </w:rPr>
        <w:lastRenderedPageBreak/>
        <w:t>around Australia are currently detained under mental impairment legislation in prisons and psychiatric units.</w:t>
      </w:r>
      <w:r w:rsidRPr="00441A8D">
        <w:rPr>
          <w:rStyle w:val="FootnoteReference"/>
          <w:rFonts w:cs="Arial"/>
          <w:sz w:val="24"/>
          <w:szCs w:val="24"/>
        </w:rPr>
        <w:footnoteReference w:id="5"/>
      </w:r>
    </w:p>
    <w:p w:rsidR="001C1253" w:rsidRPr="00ED2465" w:rsidRDefault="001C1253" w:rsidP="001C125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contextualSpacing/>
        <w:jc w:val="both"/>
        <w:rPr>
          <w:rFonts w:cs="Arial"/>
          <w:color w:val="000000"/>
          <w:sz w:val="24"/>
          <w:szCs w:val="24"/>
        </w:rPr>
      </w:pPr>
    </w:p>
    <w:p w:rsidR="001C1253" w:rsidRPr="00ED2465" w:rsidRDefault="001C1253" w:rsidP="001C1253">
      <w:pPr>
        <w:numPr>
          <w:ilvl w:val="0"/>
          <w:numId w:val="3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26" w:hanging="426"/>
        <w:contextualSpacing/>
        <w:jc w:val="both"/>
        <w:rPr>
          <w:rFonts w:cs="Arial"/>
          <w:color w:val="000000"/>
          <w:sz w:val="24"/>
          <w:szCs w:val="24"/>
        </w:rPr>
      </w:pPr>
      <w:r w:rsidRPr="00ED2465">
        <w:rPr>
          <w:rFonts w:cs="Arial"/>
          <w:color w:val="000000"/>
          <w:sz w:val="24"/>
          <w:szCs w:val="24"/>
        </w:rPr>
        <w:t>Aside from asylum seekers</w:t>
      </w:r>
      <w:r w:rsidR="00235596">
        <w:rPr>
          <w:rFonts w:cs="Arial"/>
          <w:color w:val="000000"/>
          <w:sz w:val="24"/>
          <w:szCs w:val="24"/>
        </w:rPr>
        <w:t>, including those with disability</w:t>
      </w:r>
      <w:r w:rsidRPr="00ED2465">
        <w:rPr>
          <w:rFonts w:cs="Arial"/>
          <w:color w:val="000000"/>
          <w:sz w:val="24"/>
          <w:szCs w:val="24"/>
        </w:rPr>
        <w:t xml:space="preserve"> who are mandatorily detained on their arrival to Australia</w:t>
      </w:r>
      <w:r w:rsidRPr="0054190C">
        <w:rPr>
          <w:rStyle w:val="FootnoteReference"/>
          <w:rFonts w:cs="Arial"/>
          <w:color w:val="000000"/>
          <w:sz w:val="24"/>
          <w:szCs w:val="24"/>
        </w:rPr>
        <w:footnoteReference w:id="6"/>
      </w:r>
      <w:r w:rsidRPr="00ED2465">
        <w:rPr>
          <w:rFonts w:cs="Arial"/>
          <w:color w:val="000000"/>
          <w:sz w:val="24"/>
          <w:szCs w:val="24"/>
        </w:rPr>
        <w:t xml:space="preserve">, people </w:t>
      </w:r>
      <w:r>
        <w:rPr>
          <w:rFonts w:cs="Arial"/>
          <w:color w:val="000000"/>
          <w:sz w:val="24"/>
          <w:szCs w:val="24"/>
        </w:rPr>
        <w:t xml:space="preserve">with cognitive impairment and/or psychosocial disability </w:t>
      </w:r>
      <w:r w:rsidRPr="00ED2465">
        <w:rPr>
          <w:rFonts w:cs="Arial"/>
          <w:color w:val="000000"/>
          <w:sz w:val="24"/>
          <w:szCs w:val="24"/>
        </w:rPr>
        <w:t xml:space="preserve">are the only group who experience indefinite detention in Australia.  Aboriginal people with disability are disproportionately represented in this cohort with </w:t>
      </w:r>
      <w:r w:rsidRPr="00ED2465">
        <w:rPr>
          <w:rFonts w:cs="Arial"/>
          <w:sz w:val="24"/>
          <w:szCs w:val="24"/>
        </w:rPr>
        <w:t>approximately 50 Aboriginal persons with disability currently being detained indefinitely in prisons and psychiatric units throughout Australia.</w:t>
      </w:r>
      <w:r w:rsidRPr="0054190C">
        <w:rPr>
          <w:rStyle w:val="FootnoteReference"/>
          <w:rFonts w:cs="Arial"/>
          <w:sz w:val="24"/>
          <w:szCs w:val="24"/>
        </w:rPr>
        <w:footnoteReference w:id="7"/>
      </w:r>
    </w:p>
    <w:p w:rsidR="001C1253" w:rsidRPr="0054190C" w:rsidRDefault="001C1253" w:rsidP="001C125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26"/>
        <w:contextualSpacing/>
        <w:jc w:val="both"/>
        <w:rPr>
          <w:rFonts w:cs="Arial"/>
          <w:color w:val="000000"/>
          <w:sz w:val="24"/>
          <w:szCs w:val="24"/>
        </w:rPr>
      </w:pPr>
    </w:p>
    <w:p w:rsidR="001C1253" w:rsidRPr="0054190C" w:rsidRDefault="001C1253" w:rsidP="001C1253">
      <w:pPr>
        <w:numPr>
          <w:ilvl w:val="0"/>
          <w:numId w:val="3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26" w:hanging="426"/>
        <w:contextualSpacing/>
        <w:jc w:val="both"/>
        <w:rPr>
          <w:rFonts w:cs="Arial"/>
          <w:color w:val="000000"/>
          <w:sz w:val="24"/>
          <w:szCs w:val="24"/>
        </w:rPr>
      </w:pPr>
      <w:r w:rsidRPr="0054190C">
        <w:rPr>
          <w:rFonts w:cs="Arial"/>
          <w:color w:val="000000"/>
          <w:sz w:val="24"/>
          <w:szCs w:val="24"/>
        </w:rPr>
        <w:t xml:space="preserve">Indefinite detention of people with cognitive impairment and/or psychosocial disability </w:t>
      </w:r>
      <w:r>
        <w:rPr>
          <w:rFonts w:cs="Arial"/>
          <w:color w:val="000000"/>
          <w:sz w:val="24"/>
          <w:szCs w:val="24"/>
        </w:rPr>
        <w:t xml:space="preserve">in prisons, hospitals, psychiatric facilities or other place of incarceration such as a Disability Justice Centres or immigration centres </w:t>
      </w:r>
      <w:r w:rsidRPr="0054190C">
        <w:rPr>
          <w:rFonts w:cs="Arial"/>
          <w:color w:val="000000"/>
          <w:sz w:val="24"/>
          <w:szCs w:val="24"/>
        </w:rPr>
        <w:t xml:space="preserve">is a violation of Article 14 (Liberty and Security of the Person) of the CRPD. It is a violation of Article 16 (Cruel, Inhuman or Degrading Treatment of Punishment) of the Convention Against Torture (CAT) and in some instances also a violation of Article 1 (Torture) due to </w:t>
      </w:r>
      <w:r w:rsidRPr="0054190C">
        <w:rPr>
          <w:color w:val="000000"/>
          <w:sz w:val="24"/>
          <w:szCs w:val="24"/>
        </w:rPr>
        <w:t>the vulnerability of the person involved (for example, age, gender, disability), the environment in which it takes place, and the cumulative effect of various factors including the prolonged duration of the experience.</w:t>
      </w:r>
      <w:r w:rsidRPr="0054190C">
        <w:rPr>
          <w:sz w:val="24"/>
          <w:szCs w:val="24"/>
          <w:vertAlign w:val="superscript"/>
        </w:rPr>
        <w:footnoteReference w:id="8"/>
      </w:r>
      <w:r w:rsidRPr="0054190C">
        <w:rPr>
          <w:sz w:val="24"/>
          <w:szCs w:val="24"/>
        </w:rPr>
        <w:t xml:space="preserve"> The intersectional discrimination at the heart of indefinite detention of Aboriginal and Torres Strait Island</w:t>
      </w:r>
      <w:r>
        <w:rPr>
          <w:sz w:val="24"/>
          <w:szCs w:val="24"/>
        </w:rPr>
        <w:t>er</w:t>
      </w:r>
      <w:r w:rsidRPr="0054190C">
        <w:rPr>
          <w:sz w:val="24"/>
          <w:szCs w:val="24"/>
        </w:rPr>
        <w:t xml:space="preserve"> people with disability also invokes Article </w:t>
      </w:r>
      <w:r>
        <w:rPr>
          <w:sz w:val="24"/>
          <w:szCs w:val="24"/>
        </w:rPr>
        <w:t xml:space="preserve">5 (Equality Before the Law) </w:t>
      </w:r>
      <w:r w:rsidRPr="0054190C">
        <w:rPr>
          <w:sz w:val="24"/>
          <w:szCs w:val="24"/>
        </w:rPr>
        <w:t>of the Convention on the Elimination of Racial Discrimination (CERD).</w:t>
      </w:r>
    </w:p>
    <w:p w:rsidR="001C1253" w:rsidRPr="00F25F0F" w:rsidRDefault="001C1253" w:rsidP="001C125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contextualSpacing/>
        <w:jc w:val="both"/>
        <w:rPr>
          <w:rFonts w:cs="Arial"/>
          <w:color w:val="000000"/>
          <w:sz w:val="24"/>
          <w:szCs w:val="24"/>
        </w:rPr>
      </w:pPr>
    </w:p>
    <w:p w:rsidR="001C1253" w:rsidRDefault="001C1253" w:rsidP="001C1253">
      <w:pPr>
        <w:numPr>
          <w:ilvl w:val="0"/>
          <w:numId w:val="3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26" w:hanging="426"/>
        <w:contextualSpacing/>
        <w:jc w:val="both"/>
        <w:rPr>
          <w:rFonts w:cs="Arial"/>
          <w:color w:val="000000"/>
          <w:sz w:val="24"/>
          <w:szCs w:val="24"/>
        </w:rPr>
      </w:pPr>
      <w:r>
        <w:rPr>
          <w:rFonts w:cs="Arial"/>
          <w:color w:val="000000"/>
          <w:sz w:val="24"/>
          <w:szCs w:val="24"/>
        </w:rPr>
        <w:t>This Inquiry comes at a time when there is increasing international scrutiny on the deprivation of liberty for people with disability as a resul</w:t>
      </w:r>
      <w:r w:rsidR="00990547">
        <w:rPr>
          <w:rFonts w:cs="Arial"/>
          <w:color w:val="000000"/>
          <w:sz w:val="24"/>
          <w:szCs w:val="24"/>
        </w:rPr>
        <w:t>t of work intended to progress S</w:t>
      </w:r>
      <w:r>
        <w:rPr>
          <w:rFonts w:cs="Arial"/>
          <w:color w:val="000000"/>
          <w:sz w:val="24"/>
          <w:szCs w:val="24"/>
        </w:rPr>
        <w:t xml:space="preserve">tates </w:t>
      </w:r>
      <w:r w:rsidR="00990547">
        <w:rPr>
          <w:rFonts w:cs="Arial"/>
          <w:color w:val="000000"/>
          <w:sz w:val="24"/>
          <w:szCs w:val="24"/>
        </w:rPr>
        <w:t>P</w:t>
      </w:r>
      <w:r>
        <w:rPr>
          <w:rFonts w:cs="Arial"/>
          <w:color w:val="000000"/>
          <w:sz w:val="24"/>
          <w:szCs w:val="24"/>
        </w:rPr>
        <w:t>arties understanding and implementation of the CRPD. In September 2015</w:t>
      </w:r>
      <w:r w:rsidR="00990547">
        <w:rPr>
          <w:rFonts w:cs="Arial"/>
          <w:color w:val="000000"/>
          <w:sz w:val="24"/>
          <w:szCs w:val="24"/>
        </w:rPr>
        <w:t>,</w:t>
      </w:r>
      <w:r>
        <w:rPr>
          <w:rFonts w:cs="Arial"/>
          <w:color w:val="000000"/>
          <w:sz w:val="24"/>
          <w:szCs w:val="24"/>
        </w:rPr>
        <w:t xml:space="preserve"> the United Nations Office of the High Commission for Human Rights (OHCHR) held an Expert Meeting on Deprivation of Liberty of Persons with Disability which resulted in the development of the following Standards:</w:t>
      </w:r>
    </w:p>
    <w:p w:rsidR="001C1253" w:rsidRPr="004D6527" w:rsidRDefault="001C1253" w:rsidP="001C1253">
      <w:pPr>
        <w:pStyle w:val="ListParagraph"/>
        <w:numPr>
          <w:ilvl w:val="0"/>
          <w:numId w:val="41"/>
        </w:numPr>
        <w:tabs>
          <w:tab w:val="left" w:pos="284"/>
        </w:tabs>
        <w:spacing w:after="120" w:line="240" w:lineRule="auto"/>
        <w:jc w:val="both"/>
        <w:rPr>
          <w:i/>
          <w:sz w:val="24"/>
          <w:szCs w:val="24"/>
          <w:lang w:val="en-GB"/>
        </w:rPr>
      </w:pPr>
      <w:r w:rsidRPr="004D6527">
        <w:rPr>
          <w:i/>
          <w:sz w:val="24"/>
          <w:szCs w:val="24"/>
          <w:lang w:val="en-GB"/>
        </w:rPr>
        <w:t xml:space="preserve">Absolute ban on deprivation of liberty on the basis of impairments; </w:t>
      </w:r>
    </w:p>
    <w:p w:rsidR="001C1253" w:rsidRPr="004D6527" w:rsidRDefault="001C1253" w:rsidP="001C1253">
      <w:pPr>
        <w:pStyle w:val="ListParagraph"/>
        <w:numPr>
          <w:ilvl w:val="0"/>
          <w:numId w:val="41"/>
        </w:numPr>
        <w:tabs>
          <w:tab w:val="left" w:pos="284"/>
        </w:tabs>
        <w:spacing w:after="120" w:line="240" w:lineRule="auto"/>
        <w:jc w:val="both"/>
        <w:rPr>
          <w:i/>
          <w:sz w:val="24"/>
          <w:szCs w:val="24"/>
          <w:lang w:val="en-GB"/>
        </w:rPr>
      </w:pPr>
      <w:r w:rsidRPr="004D6527">
        <w:rPr>
          <w:i/>
          <w:sz w:val="24"/>
          <w:szCs w:val="24"/>
          <w:lang w:val="en-GB"/>
        </w:rPr>
        <w:t>Ban on forced or non-consensual treatment, or which is in any way in violation of the free and inform consent of the person concerned;</w:t>
      </w:r>
    </w:p>
    <w:p w:rsidR="001C1253" w:rsidRPr="004D6527" w:rsidRDefault="001C1253" w:rsidP="001C1253">
      <w:pPr>
        <w:pStyle w:val="ListParagraph"/>
        <w:numPr>
          <w:ilvl w:val="0"/>
          <w:numId w:val="41"/>
        </w:numPr>
        <w:tabs>
          <w:tab w:val="left" w:pos="284"/>
        </w:tabs>
        <w:spacing w:after="120" w:line="240" w:lineRule="auto"/>
        <w:jc w:val="both"/>
        <w:rPr>
          <w:i/>
          <w:sz w:val="24"/>
          <w:szCs w:val="24"/>
          <w:lang w:val="en-GB"/>
        </w:rPr>
      </w:pPr>
      <w:r w:rsidRPr="004D6527">
        <w:rPr>
          <w:i/>
          <w:sz w:val="24"/>
          <w:szCs w:val="24"/>
          <w:lang w:val="en-GB"/>
        </w:rPr>
        <w:t>Upholding of the standard of “best interpretations of will and preferences of the person” for the exercise of legal capacity, superseding the standard of “best interest of the person” in all contexts for adults with disabilities;</w:t>
      </w:r>
    </w:p>
    <w:p w:rsidR="001C1253" w:rsidRPr="004D6527" w:rsidRDefault="001C1253" w:rsidP="001C1253">
      <w:pPr>
        <w:pStyle w:val="ListParagraph"/>
        <w:numPr>
          <w:ilvl w:val="0"/>
          <w:numId w:val="41"/>
        </w:numPr>
        <w:tabs>
          <w:tab w:val="left" w:pos="284"/>
        </w:tabs>
        <w:spacing w:after="120" w:line="240" w:lineRule="auto"/>
        <w:jc w:val="both"/>
        <w:rPr>
          <w:i/>
          <w:sz w:val="24"/>
          <w:szCs w:val="24"/>
          <w:lang w:val="en-GB"/>
        </w:rPr>
      </w:pPr>
      <w:r w:rsidRPr="004D6527">
        <w:rPr>
          <w:i/>
          <w:sz w:val="24"/>
          <w:szCs w:val="24"/>
          <w:lang w:val="en-GB"/>
        </w:rPr>
        <w:t>Rejection of unfitness to stand trial;</w:t>
      </w:r>
    </w:p>
    <w:p w:rsidR="001C1253" w:rsidRPr="004D6527" w:rsidRDefault="001C1253" w:rsidP="001C1253">
      <w:pPr>
        <w:pStyle w:val="ListParagraph"/>
        <w:numPr>
          <w:ilvl w:val="0"/>
          <w:numId w:val="41"/>
        </w:numPr>
        <w:tabs>
          <w:tab w:val="left" w:pos="284"/>
        </w:tabs>
        <w:spacing w:after="120" w:line="240" w:lineRule="auto"/>
        <w:jc w:val="both"/>
        <w:rPr>
          <w:i/>
          <w:sz w:val="24"/>
          <w:szCs w:val="24"/>
          <w:lang w:val="en-GB"/>
        </w:rPr>
      </w:pPr>
      <w:r w:rsidRPr="004D6527">
        <w:rPr>
          <w:i/>
          <w:sz w:val="24"/>
          <w:szCs w:val="24"/>
          <w:lang w:val="en-GB"/>
        </w:rPr>
        <w:lastRenderedPageBreak/>
        <w:t>Duty to guarantee access to justice, including through procedural accommodations at all stages of procedures;</w:t>
      </w:r>
    </w:p>
    <w:p w:rsidR="001C1253" w:rsidRPr="004D6527" w:rsidRDefault="001C1253" w:rsidP="001C1253">
      <w:pPr>
        <w:pStyle w:val="ListParagraph"/>
        <w:numPr>
          <w:ilvl w:val="0"/>
          <w:numId w:val="41"/>
        </w:numPr>
        <w:tabs>
          <w:tab w:val="left" w:pos="284"/>
        </w:tabs>
        <w:spacing w:after="120" w:line="240" w:lineRule="auto"/>
        <w:jc w:val="both"/>
        <w:rPr>
          <w:i/>
          <w:sz w:val="24"/>
          <w:szCs w:val="24"/>
          <w:lang w:val="en-GB"/>
        </w:rPr>
      </w:pPr>
      <w:r w:rsidRPr="004D6527">
        <w:rPr>
          <w:i/>
          <w:sz w:val="24"/>
          <w:szCs w:val="24"/>
          <w:lang w:val="en-GB"/>
        </w:rPr>
        <w:t xml:space="preserve">Rejection of non-liability on the basis of disability; </w:t>
      </w:r>
    </w:p>
    <w:p w:rsidR="001C1253" w:rsidRPr="004D6527" w:rsidRDefault="001C1253" w:rsidP="001C1253">
      <w:pPr>
        <w:pStyle w:val="ListParagraph"/>
        <w:numPr>
          <w:ilvl w:val="0"/>
          <w:numId w:val="41"/>
        </w:numPr>
        <w:tabs>
          <w:tab w:val="left" w:pos="284"/>
        </w:tabs>
        <w:spacing w:after="120" w:line="240" w:lineRule="auto"/>
        <w:jc w:val="both"/>
        <w:rPr>
          <w:i/>
          <w:sz w:val="24"/>
          <w:szCs w:val="24"/>
          <w:lang w:val="en-GB"/>
        </w:rPr>
      </w:pPr>
      <w:r w:rsidRPr="004D6527">
        <w:rPr>
          <w:i/>
          <w:sz w:val="24"/>
          <w:szCs w:val="24"/>
          <w:lang w:val="en-GB"/>
        </w:rPr>
        <w:t xml:space="preserve">Rejection of security measures, including those involving indefinite deprivation of liberty and forced treatment; </w:t>
      </w:r>
    </w:p>
    <w:p w:rsidR="001C1253" w:rsidRPr="004D6527" w:rsidRDefault="001C1253" w:rsidP="001C1253">
      <w:pPr>
        <w:pStyle w:val="ListParagraph"/>
        <w:numPr>
          <w:ilvl w:val="0"/>
          <w:numId w:val="41"/>
        </w:numPr>
        <w:tabs>
          <w:tab w:val="left" w:pos="284"/>
        </w:tabs>
        <w:spacing w:after="120" w:line="240" w:lineRule="auto"/>
        <w:jc w:val="both"/>
        <w:rPr>
          <w:i/>
          <w:sz w:val="24"/>
          <w:szCs w:val="24"/>
          <w:lang w:val="en-GB"/>
        </w:rPr>
      </w:pPr>
      <w:r w:rsidRPr="004D6527">
        <w:rPr>
          <w:i/>
          <w:sz w:val="24"/>
          <w:szCs w:val="24"/>
          <w:lang w:val="en-GB"/>
        </w:rPr>
        <w:t xml:space="preserve">Rejection of the concepts of dangerousness and predictability as grounds for deprivation of liberty of persons with disabilities; </w:t>
      </w:r>
    </w:p>
    <w:p w:rsidR="001C1253" w:rsidRPr="004D6527" w:rsidRDefault="001C1253" w:rsidP="001C1253">
      <w:pPr>
        <w:pStyle w:val="ListParagraph"/>
        <w:numPr>
          <w:ilvl w:val="0"/>
          <w:numId w:val="41"/>
        </w:numPr>
        <w:tabs>
          <w:tab w:val="left" w:pos="284"/>
        </w:tabs>
        <w:spacing w:after="120" w:line="240" w:lineRule="auto"/>
        <w:jc w:val="both"/>
        <w:rPr>
          <w:i/>
          <w:sz w:val="24"/>
          <w:szCs w:val="24"/>
          <w:lang w:val="en-GB"/>
        </w:rPr>
      </w:pPr>
      <w:r w:rsidRPr="004D6527">
        <w:rPr>
          <w:i/>
          <w:sz w:val="24"/>
          <w:szCs w:val="24"/>
          <w:lang w:val="en-GB"/>
        </w:rPr>
        <w:t>Person with disabilities should only be deprived of their liberty when found guilty of a crime after following a criminal procedure with all the safeguards and guarantees applicable to everyone; and</w:t>
      </w:r>
    </w:p>
    <w:p w:rsidR="001C1253" w:rsidRPr="004D6527" w:rsidRDefault="001C1253" w:rsidP="001C1253">
      <w:pPr>
        <w:pStyle w:val="ListParagraph"/>
        <w:numPr>
          <w:ilvl w:val="0"/>
          <w:numId w:val="41"/>
        </w:numPr>
        <w:tabs>
          <w:tab w:val="left" w:pos="284"/>
        </w:tabs>
        <w:spacing w:after="120" w:line="240" w:lineRule="auto"/>
        <w:jc w:val="both"/>
        <w:rPr>
          <w:i/>
          <w:sz w:val="24"/>
          <w:szCs w:val="24"/>
          <w:lang w:val="en-GB"/>
        </w:rPr>
      </w:pPr>
      <w:r w:rsidRPr="004D6527">
        <w:rPr>
          <w:i/>
          <w:sz w:val="24"/>
          <w:szCs w:val="24"/>
          <w:lang w:val="en-GB"/>
        </w:rPr>
        <w:t>Preference for diversion mechanisms and restorative justice schemes not requiring medical treatment.</w:t>
      </w:r>
      <w:r w:rsidRPr="004D6527">
        <w:rPr>
          <w:rStyle w:val="FootnoteReference"/>
          <w:i/>
          <w:sz w:val="24"/>
          <w:szCs w:val="24"/>
          <w:lang w:val="en-GB"/>
        </w:rPr>
        <w:footnoteReference w:id="9"/>
      </w:r>
    </w:p>
    <w:p w:rsidR="001C1253" w:rsidRPr="006773FB" w:rsidRDefault="001C1253" w:rsidP="00235596">
      <w:pPr>
        <w:pStyle w:val="ListParagraph"/>
        <w:tabs>
          <w:tab w:val="left" w:pos="284"/>
        </w:tabs>
        <w:spacing w:after="0" w:line="240" w:lineRule="auto"/>
        <w:ind w:left="788"/>
        <w:contextualSpacing w:val="0"/>
        <w:jc w:val="both"/>
        <w:rPr>
          <w:sz w:val="24"/>
          <w:szCs w:val="24"/>
          <w:lang w:val="en-GB"/>
        </w:rPr>
      </w:pPr>
    </w:p>
    <w:p w:rsidR="001C1253" w:rsidRPr="00DA5883" w:rsidRDefault="001C1253" w:rsidP="001C1253">
      <w:pPr>
        <w:numPr>
          <w:ilvl w:val="0"/>
          <w:numId w:val="3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contextualSpacing/>
        <w:jc w:val="both"/>
        <w:rPr>
          <w:rFonts w:cs="Arial"/>
          <w:color w:val="000000"/>
          <w:sz w:val="24"/>
          <w:szCs w:val="24"/>
        </w:rPr>
      </w:pPr>
      <w:r w:rsidRPr="00DA5883">
        <w:rPr>
          <w:rFonts w:cs="Arial"/>
          <w:color w:val="000000"/>
          <w:sz w:val="24"/>
          <w:szCs w:val="24"/>
        </w:rPr>
        <w:t>The A</w:t>
      </w:r>
      <w:r w:rsidR="008F5798" w:rsidRPr="00DA5883">
        <w:rPr>
          <w:rFonts w:cs="Arial"/>
          <w:color w:val="000000"/>
          <w:sz w:val="24"/>
          <w:szCs w:val="24"/>
        </w:rPr>
        <w:t xml:space="preserve">CDA </w:t>
      </w:r>
      <w:r w:rsidR="00CC505F">
        <w:rPr>
          <w:rFonts w:cs="Arial"/>
          <w:color w:val="000000"/>
          <w:sz w:val="24"/>
          <w:szCs w:val="24"/>
        </w:rPr>
        <w:t xml:space="preserve">strongly suggests that the Senate Community Affairs References </w:t>
      </w:r>
      <w:r w:rsidRPr="00DA5883">
        <w:rPr>
          <w:rFonts w:cs="Arial"/>
          <w:color w:val="000000"/>
          <w:sz w:val="24"/>
          <w:szCs w:val="24"/>
        </w:rPr>
        <w:t xml:space="preserve">Committee </w:t>
      </w:r>
      <w:r w:rsidR="00CC505F" w:rsidRPr="00DA5883">
        <w:rPr>
          <w:rFonts w:cs="Arial"/>
          <w:color w:val="000000"/>
          <w:sz w:val="24"/>
          <w:szCs w:val="24"/>
        </w:rPr>
        <w:t>acknowledg</w:t>
      </w:r>
      <w:r w:rsidR="00CC505F">
        <w:rPr>
          <w:rFonts w:cs="Arial"/>
          <w:color w:val="000000"/>
          <w:sz w:val="24"/>
          <w:szCs w:val="24"/>
        </w:rPr>
        <w:t xml:space="preserve">es </w:t>
      </w:r>
      <w:r w:rsidR="00CC505F" w:rsidRPr="00DA5883">
        <w:rPr>
          <w:rFonts w:cs="Arial"/>
          <w:color w:val="000000"/>
          <w:sz w:val="24"/>
          <w:szCs w:val="24"/>
        </w:rPr>
        <w:t>Australia’s obligation as a State Party to the CRPD</w:t>
      </w:r>
      <w:r w:rsidR="00CC505F">
        <w:rPr>
          <w:rFonts w:cs="Arial"/>
          <w:color w:val="000000"/>
          <w:sz w:val="24"/>
          <w:szCs w:val="24"/>
        </w:rPr>
        <w:t xml:space="preserve">, and use these standards from the OHCHR Expert Group </w:t>
      </w:r>
      <w:r w:rsidRPr="00DA5883">
        <w:rPr>
          <w:rFonts w:cs="Arial"/>
          <w:color w:val="000000"/>
          <w:sz w:val="24"/>
          <w:szCs w:val="24"/>
        </w:rPr>
        <w:t xml:space="preserve">to </w:t>
      </w:r>
      <w:r w:rsidR="00CC505F">
        <w:rPr>
          <w:rFonts w:cs="Arial"/>
          <w:color w:val="000000"/>
          <w:sz w:val="24"/>
          <w:szCs w:val="24"/>
        </w:rPr>
        <w:t xml:space="preserve">inform this Inquiry and its recommendations. </w:t>
      </w:r>
      <w:r w:rsidRPr="00DA5883">
        <w:rPr>
          <w:rFonts w:cs="Arial"/>
          <w:color w:val="000000"/>
          <w:sz w:val="24"/>
          <w:szCs w:val="24"/>
        </w:rPr>
        <w:t>Considerable work needs to be done in o</w:t>
      </w:r>
      <w:r w:rsidR="008F5798" w:rsidRPr="00DA5883">
        <w:rPr>
          <w:rFonts w:cs="Arial"/>
          <w:color w:val="000000"/>
          <w:sz w:val="24"/>
          <w:szCs w:val="24"/>
        </w:rPr>
        <w:t>rder to fully examine what the S</w:t>
      </w:r>
      <w:r w:rsidRPr="00DA5883">
        <w:rPr>
          <w:rFonts w:cs="Arial"/>
          <w:color w:val="000000"/>
          <w:sz w:val="24"/>
          <w:szCs w:val="24"/>
        </w:rPr>
        <w:t xml:space="preserve">tates, </w:t>
      </w:r>
      <w:r w:rsidR="008F5798" w:rsidRPr="00DA5883">
        <w:rPr>
          <w:rFonts w:cs="Arial"/>
          <w:color w:val="000000"/>
          <w:sz w:val="24"/>
          <w:szCs w:val="24"/>
        </w:rPr>
        <w:t>T</w:t>
      </w:r>
      <w:r w:rsidRPr="00DA5883">
        <w:rPr>
          <w:rFonts w:cs="Arial"/>
          <w:color w:val="000000"/>
          <w:sz w:val="24"/>
          <w:szCs w:val="24"/>
        </w:rPr>
        <w:t xml:space="preserve">erritories and Commonwealth governments need to do in order to end the indefinite detention of people with cognitive impairment and/or psychosocial disability. This Inquiry is a welcome starting point and opportunity to scope out how this work will be done, by whom and with what resources. </w:t>
      </w:r>
    </w:p>
    <w:p w:rsidR="001C1253" w:rsidRDefault="001C1253" w:rsidP="001C125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786"/>
        <w:contextualSpacing/>
        <w:jc w:val="both"/>
        <w:rPr>
          <w:rFonts w:cs="Arial"/>
          <w:color w:val="000000"/>
          <w:sz w:val="24"/>
          <w:szCs w:val="24"/>
        </w:rPr>
      </w:pPr>
    </w:p>
    <w:p w:rsidR="001C1253" w:rsidRPr="006B520E" w:rsidRDefault="001C1253" w:rsidP="001C1253">
      <w:pPr>
        <w:numPr>
          <w:ilvl w:val="0"/>
          <w:numId w:val="3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contextualSpacing/>
        <w:jc w:val="both"/>
        <w:rPr>
          <w:rFonts w:cs="Arial"/>
          <w:color w:val="000000"/>
          <w:sz w:val="24"/>
          <w:szCs w:val="24"/>
        </w:rPr>
      </w:pPr>
      <w:r w:rsidRPr="0054190C">
        <w:rPr>
          <w:rFonts w:cs="Arial"/>
          <w:color w:val="000000"/>
          <w:sz w:val="24"/>
          <w:szCs w:val="24"/>
        </w:rPr>
        <w:t xml:space="preserve">This submission </w:t>
      </w:r>
      <w:r w:rsidR="009F7A89">
        <w:rPr>
          <w:rFonts w:cs="Arial"/>
          <w:color w:val="000000"/>
          <w:sz w:val="24"/>
          <w:szCs w:val="24"/>
        </w:rPr>
        <w:t>firstly focuses on</w:t>
      </w:r>
      <w:r w:rsidRPr="0054190C">
        <w:rPr>
          <w:rFonts w:cs="Arial"/>
          <w:color w:val="000000"/>
          <w:sz w:val="24"/>
          <w:szCs w:val="24"/>
        </w:rPr>
        <w:t xml:space="preserve"> the circumstances which lead to indefinite detention of people with cognitive impairment and/or psychosocial disability </w:t>
      </w:r>
      <w:r w:rsidR="00AF3763">
        <w:rPr>
          <w:rFonts w:cs="Arial"/>
          <w:color w:val="000000"/>
          <w:sz w:val="24"/>
          <w:szCs w:val="24"/>
        </w:rPr>
        <w:t xml:space="preserve">in the Australian context, particularly </w:t>
      </w:r>
      <w:r w:rsidRPr="0054190C">
        <w:rPr>
          <w:rFonts w:cs="Arial"/>
          <w:color w:val="000000"/>
          <w:sz w:val="24"/>
          <w:szCs w:val="24"/>
        </w:rPr>
        <w:t xml:space="preserve">violations of the recognition of legal capacity inherent in unfitness to plead legislation, </w:t>
      </w:r>
      <w:r>
        <w:rPr>
          <w:rFonts w:cs="Arial"/>
          <w:color w:val="000000"/>
          <w:sz w:val="24"/>
          <w:szCs w:val="24"/>
        </w:rPr>
        <w:t xml:space="preserve">mental impairment legislation and </w:t>
      </w:r>
      <w:r w:rsidRPr="0054190C">
        <w:rPr>
          <w:rFonts w:cs="Arial"/>
          <w:color w:val="000000"/>
          <w:sz w:val="24"/>
          <w:szCs w:val="24"/>
        </w:rPr>
        <w:t xml:space="preserve">mental health laws. </w:t>
      </w:r>
      <w:r w:rsidR="009F7A89">
        <w:rPr>
          <w:rFonts w:cs="Arial"/>
          <w:color w:val="000000"/>
          <w:sz w:val="24"/>
          <w:szCs w:val="24"/>
        </w:rPr>
        <w:t xml:space="preserve">Secondly, it examines </w:t>
      </w:r>
      <w:r w:rsidRPr="0054190C">
        <w:rPr>
          <w:rFonts w:cs="Arial"/>
          <w:color w:val="000000"/>
          <w:sz w:val="24"/>
          <w:szCs w:val="24"/>
        </w:rPr>
        <w:t>the consequences for people with disability including</w:t>
      </w:r>
      <w:r>
        <w:rPr>
          <w:rFonts w:cs="Arial"/>
          <w:color w:val="000000"/>
          <w:sz w:val="24"/>
          <w:szCs w:val="24"/>
        </w:rPr>
        <w:t xml:space="preserve"> further </w:t>
      </w:r>
      <w:r w:rsidRPr="0054190C">
        <w:rPr>
          <w:rFonts w:cs="Arial"/>
          <w:color w:val="000000"/>
          <w:sz w:val="24"/>
          <w:szCs w:val="24"/>
        </w:rPr>
        <w:t>violations of their</w:t>
      </w:r>
      <w:r>
        <w:rPr>
          <w:rFonts w:cs="Arial"/>
          <w:color w:val="000000"/>
          <w:sz w:val="24"/>
          <w:szCs w:val="24"/>
        </w:rPr>
        <w:t xml:space="preserve"> rights through the use of restrictive practices, </w:t>
      </w:r>
      <w:r w:rsidRPr="0054190C">
        <w:rPr>
          <w:rFonts w:cs="Arial"/>
          <w:color w:val="000000"/>
          <w:sz w:val="24"/>
          <w:szCs w:val="24"/>
        </w:rPr>
        <w:t>the denial of reasonable accommodation</w:t>
      </w:r>
      <w:r>
        <w:rPr>
          <w:rFonts w:cs="Arial"/>
          <w:color w:val="000000"/>
          <w:sz w:val="24"/>
          <w:szCs w:val="24"/>
        </w:rPr>
        <w:t xml:space="preserve"> and inappropriate detention environments. </w:t>
      </w:r>
      <w:r w:rsidRPr="0054190C">
        <w:rPr>
          <w:rFonts w:cs="Arial"/>
          <w:color w:val="000000"/>
          <w:sz w:val="24"/>
          <w:szCs w:val="24"/>
        </w:rPr>
        <w:t xml:space="preserve">Thirdly, an overview of the </w:t>
      </w:r>
      <w:r>
        <w:rPr>
          <w:rFonts w:cs="Arial"/>
          <w:color w:val="000000"/>
          <w:sz w:val="24"/>
          <w:szCs w:val="24"/>
        </w:rPr>
        <w:t>legal and policy changes</w:t>
      </w:r>
      <w:r w:rsidRPr="0054190C">
        <w:rPr>
          <w:rFonts w:cs="Arial"/>
          <w:color w:val="000000"/>
          <w:sz w:val="24"/>
          <w:szCs w:val="24"/>
        </w:rPr>
        <w:t xml:space="preserve"> required to address the problem of indefinite detention will be considered </w:t>
      </w:r>
      <w:r>
        <w:rPr>
          <w:rFonts w:cs="Arial"/>
          <w:color w:val="000000"/>
          <w:sz w:val="24"/>
          <w:szCs w:val="24"/>
        </w:rPr>
        <w:t xml:space="preserve">including support for decision making based on rights will and preference, limits on the term of detention, </w:t>
      </w:r>
      <w:r w:rsidRPr="0054190C">
        <w:rPr>
          <w:rFonts w:cs="Arial"/>
          <w:color w:val="000000"/>
          <w:sz w:val="24"/>
          <w:szCs w:val="24"/>
        </w:rPr>
        <w:t xml:space="preserve">removal of barriers to accessing justice for people with disability, </w:t>
      </w:r>
      <w:r>
        <w:rPr>
          <w:rFonts w:cs="Arial"/>
          <w:color w:val="000000"/>
          <w:sz w:val="24"/>
          <w:szCs w:val="24"/>
        </w:rPr>
        <w:t xml:space="preserve">elimination of restrictive practices, increased </w:t>
      </w:r>
      <w:r w:rsidRPr="0054190C">
        <w:rPr>
          <w:rFonts w:cs="Arial"/>
          <w:color w:val="000000"/>
          <w:sz w:val="24"/>
          <w:szCs w:val="24"/>
        </w:rPr>
        <w:t xml:space="preserve">provision of disability supports, </w:t>
      </w:r>
      <w:r>
        <w:rPr>
          <w:rFonts w:cs="Arial"/>
          <w:color w:val="000000"/>
          <w:sz w:val="24"/>
          <w:szCs w:val="24"/>
        </w:rPr>
        <w:t xml:space="preserve">effective </w:t>
      </w:r>
      <w:r w:rsidRPr="0054190C">
        <w:rPr>
          <w:rFonts w:cs="Arial"/>
          <w:color w:val="000000"/>
          <w:sz w:val="24"/>
          <w:szCs w:val="24"/>
        </w:rPr>
        <w:t xml:space="preserve">treatment as opposed to </w:t>
      </w:r>
      <w:r>
        <w:rPr>
          <w:rFonts w:cs="Arial"/>
          <w:color w:val="000000"/>
          <w:sz w:val="24"/>
          <w:szCs w:val="24"/>
        </w:rPr>
        <w:t>punishment, and ending indefinite mandatory detention of asylum seekers.</w:t>
      </w:r>
    </w:p>
    <w:p w:rsidR="006D1898" w:rsidRDefault="006D1898">
      <w:pPr>
        <w:spacing w:after="0" w:line="240" w:lineRule="auto"/>
        <w:rPr>
          <w:rFonts w:asciiTheme="majorHAnsi" w:eastAsiaTheme="majorEastAsia" w:hAnsiTheme="majorHAnsi" w:cstheme="majorBidi"/>
          <w:b/>
          <w:bCs/>
          <w:color w:val="365F91" w:themeColor="accent1" w:themeShade="BF"/>
          <w:sz w:val="28"/>
          <w:szCs w:val="28"/>
          <w:highlight w:val="yellow"/>
        </w:rPr>
      </w:pPr>
      <w:r>
        <w:rPr>
          <w:highlight w:val="yellow"/>
        </w:rPr>
        <w:br w:type="page"/>
      </w:r>
    </w:p>
    <w:p w:rsidR="00BC0D19" w:rsidRPr="000D2A8C" w:rsidRDefault="001C1253" w:rsidP="004C388D">
      <w:pPr>
        <w:pStyle w:val="Heading1"/>
        <w:spacing w:after="120"/>
        <w:rPr>
          <w:rFonts w:ascii="Arial" w:hAnsi="Arial" w:cs="Arial"/>
          <w:color w:val="1F497D" w:themeColor="text2"/>
        </w:rPr>
      </w:pPr>
      <w:r w:rsidRPr="000D2A8C">
        <w:rPr>
          <w:rFonts w:ascii="Arial" w:hAnsi="Arial" w:cs="Arial"/>
          <w:color w:val="1F497D" w:themeColor="text2"/>
        </w:rPr>
        <w:lastRenderedPageBreak/>
        <w:t xml:space="preserve">Recommendations </w:t>
      </w:r>
    </w:p>
    <w:p w:rsidR="000D2A8C" w:rsidRDefault="000D2A8C" w:rsidP="000D2A8C">
      <w:pPr>
        <w:pStyle w:val="Heading1"/>
        <w:numPr>
          <w:ilvl w:val="0"/>
          <w:numId w:val="42"/>
        </w:numPr>
        <w:spacing w:before="120"/>
        <w:ind w:left="426" w:hanging="426"/>
        <w:rPr>
          <w:rFonts w:cs="Arial"/>
          <w:b w:val="0"/>
          <w:color w:val="auto"/>
          <w:sz w:val="24"/>
          <w:szCs w:val="24"/>
        </w:rPr>
      </w:pPr>
      <w:r w:rsidRPr="000D2A8C">
        <w:rPr>
          <w:rFonts w:cs="Arial"/>
          <w:b w:val="0"/>
          <w:color w:val="auto"/>
          <w:sz w:val="24"/>
          <w:szCs w:val="24"/>
        </w:rPr>
        <w:t xml:space="preserve">The Australian Government urgently ratify and ensure domestic implementation of the Optional Protocol to the Convention against Torture (OPCAT) and the establishment of an independent national preventive mechanism to monitor places of detention, including where people with disability are detained, such as immigration detention centres, prisons, forensic facilities, juvenile justice detention centres, disability justice centres and mental health facilities.  </w:t>
      </w:r>
    </w:p>
    <w:p w:rsidR="00DB1F34" w:rsidRDefault="00DB1F34" w:rsidP="00DB1F34">
      <w:pPr>
        <w:spacing w:after="0"/>
      </w:pPr>
    </w:p>
    <w:p w:rsidR="00DB1F34" w:rsidRDefault="00DB1F34" w:rsidP="00DB1F34">
      <w:pPr>
        <w:pStyle w:val="ListParagraph"/>
        <w:numPr>
          <w:ilvl w:val="0"/>
          <w:numId w:val="42"/>
        </w:numPr>
        <w:spacing w:after="160" w:line="259" w:lineRule="auto"/>
        <w:ind w:left="426" w:hanging="426"/>
        <w:rPr>
          <w:sz w:val="24"/>
          <w:szCs w:val="24"/>
        </w:rPr>
      </w:pPr>
      <w:r w:rsidRPr="00DB1F34">
        <w:rPr>
          <w:sz w:val="24"/>
          <w:szCs w:val="24"/>
        </w:rPr>
        <w:t>Australia</w:t>
      </w:r>
      <w:r w:rsidR="000E5E80">
        <w:rPr>
          <w:sz w:val="24"/>
          <w:szCs w:val="24"/>
        </w:rPr>
        <w:t>n governments</w:t>
      </w:r>
      <w:r w:rsidRPr="00DB1F34">
        <w:rPr>
          <w:sz w:val="24"/>
          <w:szCs w:val="24"/>
        </w:rPr>
        <w:t xml:space="preserve"> should establish uniform national legislation, in line with international human rights law, to facilitate due legal process to end indefinite detention of people with disability without conviction.  This should be accompanied by the establishment of gender and culturally relevant administrative and disability support frameworks that enable unconvicted people with disability to receive genuine community based treatment, rehabilitation and support in the community.</w:t>
      </w:r>
    </w:p>
    <w:p w:rsidR="00DB1F34" w:rsidRPr="00DB1F34" w:rsidRDefault="00DB1F34" w:rsidP="00DB1F34">
      <w:pPr>
        <w:pStyle w:val="ListParagraph"/>
        <w:rPr>
          <w:sz w:val="24"/>
          <w:szCs w:val="24"/>
        </w:rPr>
      </w:pPr>
    </w:p>
    <w:p w:rsidR="00BF5DBE" w:rsidRDefault="00BF5DBE" w:rsidP="00BF5DBE">
      <w:pPr>
        <w:pStyle w:val="ListParagraph"/>
        <w:numPr>
          <w:ilvl w:val="0"/>
          <w:numId w:val="42"/>
        </w:numPr>
        <w:spacing w:after="160" w:line="259" w:lineRule="auto"/>
        <w:ind w:left="426" w:hanging="426"/>
        <w:rPr>
          <w:bCs/>
          <w:sz w:val="24"/>
          <w:szCs w:val="24"/>
        </w:rPr>
      </w:pPr>
      <w:r w:rsidRPr="00BF5DBE">
        <w:rPr>
          <w:bCs/>
          <w:sz w:val="24"/>
          <w:szCs w:val="24"/>
        </w:rPr>
        <w:t>Australia</w:t>
      </w:r>
      <w:r w:rsidR="000E5E80">
        <w:rPr>
          <w:bCs/>
          <w:sz w:val="24"/>
          <w:szCs w:val="24"/>
        </w:rPr>
        <w:t xml:space="preserve">n governments </w:t>
      </w:r>
      <w:r w:rsidRPr="00BF5DBE">
        <w:rPr>
          <w:bCs/>
          <w:sz w:val="24"/>
          <w:szCs w:val="24"/>
        </w:rPr>
        <w:t>should develop and implement a range of gender and culture specific diversionary programs and mechanisms and community based sentencing options that are integrated with individualised disability support packages and social support programs to prevent people with disability coming into contact with the criminal justice system.</w:t>
      </w:r>
    </w:p>
    <w:p w:rsidR="00BF5DBE" w:rsidRPr="00BF5DBE" w:rsidRDefault="00BF5DBE" w:rsidP="00BF5DBE">
      <w:pPr>
        <w:pStyle w:val="ListParagraph"/>
        <w:rPr>
          <w:bCs/>
          <w:sz w:val="24"/>
          <w:szCs w:val="24"/>
        </w:rPr>
      </w:pPr>
    </w:p>
    <w:p w:rsidR="000E5E80" w:rsidRDefault="000E5E80" w:rsidP="000E5E80">
      <w:pPr>
        <w:pStyle w:val="ListParagraph"/>
        <w:numPr>
          <w:ilvl w:val="0"/>
          <w:numId w:val="42"/>
        </w:numPr>
        <w:spacing w:after="160" w:line="259" w:lineRule="auto"/>
        <w:ind w:left="426" w:hanging="426"/>
        <w:rPr>
          <w:bCs/>
          <w:sz w:val="24"/>
          <w:szCs w:val="24"/>
        </w:rPr>
      </w:pPr>
      <w:r>
        <w:rPr>
          <w:bCs/>
          <w:sz w:val="24"/>
          <w:szCs w:val="24"/>
        </w:rPr>
        <w:t xml:space="preserve">Australian governments should review ‘mental impairment defence’ legislation and policy, in line with international human rights law, to </w:t>
      </w:r>
      <w:r w:rsidR="00C940EB">
        <w:rPr>
          <w:bCs/>
          <w:sz w:val="24"/>
          <w:szCs w:val="24"/>
        </w:rPr>
        <w:t xml:space="preserve">establish a nationally consistent approach to </w:t>
      </w:r>
      <w:r>
        <w:rPr>
          <w:bCs/>
          <w:sz w:val="24"/>
          <w:szCs w:val="24"/>
        </w:rPr>
        <w:t>ensur</w:t>
      </w:r>
      <w:r w:rsidR="00C940EB">
        <w:rPr>
          <w:bCs/>
          <w:sz w:val="24"/>
          <w:szCs w:val="24"/>
        </w:rPr>
        <w:t>ing</w:t>
      </w:r>
      <w:r>
        <w:rPr>
          <w:bCs/>
          <w:sz w:val="24"/>
          <w:szCs w:val="24"/>
        </w:rPr>
        <w:t xml:space="preserve"> regular, periodic, judicial review of a person’s detention; and ensur</w:t>
      </w:r>
      <w:r w:rsidR="00C940EB">
        <w:rPr>
          <w:bCs/>
          <w:sz w:val="24"/>
          <w:szCs w:val="24"/>
        </w:rPr>
        <w:t>ing</w:t>
      </w:r>
      <w:r>
        <w:rPr>
          <w:bCs/>
          <w:sz w:val="24"/>
          <w:szCs w:val="24"/>
        </w:rPr>
        <w:t xml:space="preserve"> that there is a focus on treatment and rehabilitation with the provision of adequate and appropriate supports, including disability and mental health supports.</w:t>
      </w:r>
    </w:p>
    <w:p w:rsidR="000E5E80" w:rsidRPr="000E5E80" w:rsidRDefault="000E5E80" w:rsidP="000E5E80">
      <w:pPr>
        <w:pStyle w:val="ListParagraph"/>
        <w:rPr>
          <w:bCs/>
          <w:sz w:val="24"/>
          <w:szCs w:val="24"/>
        </w:rPr>
      </w:pPr>
    </w:p>
    <w:p w:rsidR="00164AE7" w:rsidRPr="00ED474C" w:rsidRDefault="00164AE7" w:rsidP="00164AE7">
      <w:pPr>
        <w:pStyle w:val="ListParagraph"/>
        <w:numPr>
          <w:ilvl w:val="0"/>
          <w:numId w:val="42"/>
        </w:numPr>
        <w:spacing w:after="160" w:line="259" w:lineRule="auto"/>
        <w:ind w:left="426" w:hanging="426"/>
        <w:rPr>
          <w:bCs/>
          <w:sz w:val="24"/>
          <w:szCs w:val="24"/>
        </w:rPr>
      </w:pPr>
      <w:r>
        <w:rPr>
          <w:sz w:val="24"/>
          <w:szCs w:val="24"/>
        </w:rPr>
        <w:t xml:space="preserve">The </w:t>
      </w:r>
      <w:r w:rsidRPr="00164AE7">
        <w:rPr>
          <w:sz w:val="24"/>
          <w:szCs w:val="24"/>
        </w:rPr>
        <w:t>N</w:t>
      </w:r>
      <w:r>
        <w:rPr>
          <w:sz w:val="24"/>
          <w:szCs w:val="24"/>
        </w:rPr>
        <w:t xml:space="preserve">ational Disability Insurance Agency should work with </w:t>
      </w:r>
      <w:r w:rsidRPr="00164AE7">
        <w:rPr>
          <w:sz w:val="24"/>
          <w:szCs w:val="24"/>
        </w:rPr>
        <w:t xml:space="preserve">State and Territory justice </w:t>
      </w:r>
      <w:r w:rsidR="00906CE1">
        <w:rPr>
          <w:sz w:val="24"/>
          <w:szCs w:val="24"/>
        </w:rPr>
        <w:t xml:space="preserve">departments </w:t>
      </w:r>
      <w:r w:rsidRPr="00164AE7">
        <w:rPr>
          <w:sz w:val="24"/>
          <w:szCs w:val="24"/>
        </w:rPr>
        <w:t xml:space="preserve">to develop a </w:t>
      </w:r>
      <w:r>
        <w:rPr>
          <w:sz w:val="24"/>
          <w:szCs w:val="24"/>
        </w:rPr>
        <w:t xml:space="preserve">nationally consistent </w:t>
      </w:r>
      <w:r w:rsidRPr="00164AE7">
        <w:rPr>
          <w:sz w:val="24"/>
          <w:szCs w:val="24"/>
        </w:rPr>
        <w:t xml:space="preserve">strategy for correctional facilities to identify NDIS eligible </w:t>
      </w:r>
      <w:r>
        <w:rPr>
          <w:sz w:val="24"/>
          <w:szCs w:val="24"/>
        </w:rPr>
        <w:t xml:space="preserve">prisoners </w:t>
      </w:r>
      <w:r w:rsidRPr="00164AE7">
        <w:rPr>
          <w:sz w:val="24"/>
          <w:szCs w:val="24"/>
        </w:rPr>
        <w:t xml:space="preserve">whilst they are in detention so that NDIS Plans can be developed prior to release into the community.  </w:t>
      </w:r>
    </w:p>
    <w:p w:rsidR="00ED474C" w:rsidRPr="00ED474C" w:rsidRDefault="00ED474C" w:rsidP="00ED474C">
      <w:pPr>
        <w:pStyle w:val="ListParagraph"/>
        <w:rPr>
          <w:bCs/>
          <w:sz w:val="24"/>
          <w:szCs w:val="24"/>
        </w:rPr>
      </w:pPr>
    </w:p>
    <w:p w:rsidR="00ED474C" w:rsidRPr="00ED474C" w:rsidRDefault="00ED474C" w:rsidP="00ED474C">
      <w:pPr>
        <w:pStyle w:val="ListParagraph"/>
        <w:numPr>
          <w:ilvl w:val="0"/>
          <w:numId w:val="42"/>
        </w:numPr>
        <w:spacing w:after="160" w:line="259" w:lineRule="auto"/>
        <w:ind w:left="426" w:hanging="426"/>
        <w:rPr>
          <w:bCs/>
          <w:sz w:val="24"/>
          <w:szCs w:val="24"/>
        </w:rPr>
      </w:pPr>
      <w:r w:rsidRPr="00ED474C">
        <w:rPr>
          <w:rFonts w:cs="Arial"/>
          <w:sz w:val="24"/>
          <w:szCs w:val="24"/>
        </w:rPr>
        <w:t xml:space="preserve">Australian </w:t>
      </w:r>
      <w:r>
        <w:rPr>
          <w:rFonts w:cs="Arial"/>
          <w:sz w:val="24"/>
          <w:szCs w:val="24"/>
        </w:rPr>
        <w:t xml:space="preserve">governments, </w:t>
      </w:r>
      <w:r w:rsidRPr="00ED474C">
        <w:rPr>
          <w:rFonts w:cs="Arial"/>
          <w:sz w:val="24"/>
          <w:szCs w:val="24"/>
        </w:rPr>
        <w:t>in partnership with people with disability develop and implement Disability Justice Strategies that identify and address barriers to jus</w:t>
      </w:r>
      <w:r>
        <w:rPr>
          <w:rFonts w:cs="Arial"/>
          <w:sz w:val="24"/>
          <w:szCs w:val="24"/>
        </w:rPr>
        <w:t xml:space="preserve">tice for people with disability, </w:t>
      </w:r>
      <w:r w:rsidRPr="00ED474C">
        <w:rPr>
          <w:rFonts w:cs="Arial"/>
          <w:sz w:val="24"/>
          <w:szCs w:val="24"/>
        </w:rPr>
        <w:t>whether as a victim, a witness or a defendant</w:t>
      </w:r>
      <w:r>
        <w:rPr>
          <w:rFonts w:cs="Arial"/>
          <w:sz w:val="24"/>
          <w:szCs w:val="24"/>
        </w:rPr>
        <w:t xml:space="preserve">.  Such Strategies could be developed in </w:t>
      </w:r>
      <w:r w:rsidRPr="00ED474C">
        <w:rPr>
          <w:rFonts w:cs="Arial"/>
          <w:sz w:val="24"/>
          <w:szCs w:val="24"/>
        </w:rPr>
        <w:t xml:space="preserve">line with the recommendations from the Australian Human Rights Commission’s report, </w:t>
      </w:r>
      <w:r w:rsidRPr="00ED474C">
        <w:rPr>
          <w:rFonts w:cs="Arial"/>
          <w:i/>
          <w:sz w:val="24"/>
          <w:szCs w:val="24"/>
        </w:rPr>
        <w:t>Equal Before the Law: Towards Disability Justice Strategies</w:t>
      </w:r>
      <w:r w:rsidRPr="00ED474C">
        <w:rPr>
          <w:rFonts w:cs="Arial"/>
          <w:sz w:val="24"/>
          <w:szCs w:val="24"/>
        </w:rPr>
        <w:t xml:space="preserve">. </w:t>
      </w:r>
    </w:p>
    <w:p w:rsidR="00BF5DBE" w:rsidRPr="00BF5DBE" w:rsidRDefault="00BF5DBE" w:rsidP="00BF5DBE">
      <w:pPr>
        <w:pStyle w:val="ListParagraph"/>
        <w:ind w:left="426"/>
      </w:pPr>
    </w:p>
    <w:p w:rsidR="00BF659A" w:rsidRPr="00BF659A" w:rsidRDefault="00BF659A" w:rsidP="00BF659A">
      <w:pPr>
        <w:pStyle w:val="ListParagraph"/>
        <w:numPr>
          <w:ilvl w:val="0"/>
          <w:numId w:val="42"/>
        </w:numPr>
        <w:tabs>
          <w:tab w:val="left" w:pos="1848"/>
          <w:tab w:val="left" w:pos="2773"/>
          <w:tab w:val="left" w:pos="3697"/>
          <w:tab w:val="left" w:pos="4621"/>
          <w:tab w:val="left" w:pos="5545"/>
          <w:tab w:val="left" w:pos="6469"/>
          <w:tab w:val="left" w:pos="7394"/>
          <w:tab w:val="left" w:pos="8318"/>
          <w:tab w:val="right" w:pos="8930"/>
        </w:tabs>
        <w:spacing w:after="160" w:line="259" w:lineRule="auto"/>
        <w:ind w:left="426" w:hanging="426"/>
        <w:rPr>
          <w:rFonts w:cs="Arial"/>
          <w:sz w:val="24"/>
          <w:szCs w:val="24"/>
        </w:rPr>
      </w:pPr>
      <w:r>
        <w:rPr>
          <w:rFonts w:cs="Arial"/>
          <w:sz w:val="24"/>
          <w:szCs w:val="24"/>
        </w:rPr>
        <w:t>Australian g</w:t>
      </w:r>
      <w:r w:rsidRPr="00BF659A">
        <w:rPr>
          <w:rFonts w:cs="Arial"/>
          <w:sz w:val="24"/>
          <w:szCs w:val="24"/>
        </w:rPr>
        <w:t>overnment</w:t>
      </w:r>
      <w:r>
        <w:rPr>
          <w:rFonts w:cs="Arial"/>
          <w:sz w:val="24"/>
          <w:szCs w:val="24"/>
        </w:rPr>
        <w:t>s</w:t>
      </w:r>
      <w:r w:rsidRPr="00BF659A">
        <w:rPr>
          <w:rFonts w:cs="Arial"/>
          <w:sz w:val="24"/>
          <w:szCs w:val="24"/>
        </w:rPr>
        <w:t xml:space="preserve"> develop and implement nationally consistent programs that provide support (including urgent support) for people with disability involved in the criminal justice system, regardless of whether the person is a victim, witness or defendant. Such programs could include a similar scheme to UK Registered Intermediaries and </w:t>
      </w:r>
      <w:r>
        <w:rPr>
          <w:rFonts w:cs="Arial"/>
          <w:sz w:val="24"/>
          <w:szCs w:val="24"/>
        </w:rPr>
        <w:t xml:space="preserve">similar </w:t>
      </w:r>
      <w:r w:rsidRPr="00BF659A">
        <w:rPr>
          <w:rFonts w:cs="Arial"/>
          <w:sz w:val="24"/>
          <w:szCs w:val="24"/>
        </w:rPr>
        <w:t>online resou</w:t>
      </w:r>
      <w:r>
        <w:rPr>
          <w:rFonts w:cs="Arial"/>
          <w:sz w:val="24"/>
          <w:szCs w:val="24"/>
        </w:rPr>
        <w:t>r</w:t>
      </w:r>
      <w:r w:rsidRPr="00BF659A">
        <w:rPr>
          <w:rFonts w:cs="Arial"/>
          <w:sz w:val="24"/>
          <w:szCs w:val="24"/>
        </w:rPr>
        <w:t>ces similar to the Advocates Gateway.</w:t>
      </w:r>
    </w:p>
    <w:p w:rsidR="00DB1F34" w:rsidRPr="00DB1F34" w:rsidRDefault="00DB1F34" w:rsidP="00DB1F34">
      <w:pPr>
        <w:pStyle w:val="ListParagraph"/>
        <w:numPr>
          <w:ilvl w:val="0"/>
          <w:numId w:val="42"/>
        </w:numPr>
        <w:ind w:left="426" w:hanging="426"/>
      </w:pPr>
      <w:r w:rsidRPr="00DB1F34">
        <w:rPr>
          <w:rFonts w:cs="Arial"/>
          <w:sz w:val="24"/>
          <w:szCs w:val="24"/>
        </w:rPr>
        <w:lastRenderedPageBreak/>
        <w:t>The Australian Government repeal legal provisions that establish and permit mandatory detention for asylum seekers; enact legislation that ensures that any detention only occurs where strictly necessary, for the shortest time possible and as a last resort, that ceases immigration detention of children and their families, that ensures regular, periodic, judicial review of a person’s detention, and that ensures that detainees have adequate supports and safeguards, including disability supports, aids, assistive technology, physical and mental health services, interpreters and communication facilities.</w:t>
      </w:r>
    </w:p>
    <w:p w:rsidR="00DB1F34" w:rsidRDefault="00DB1F34" w:rsidP="00DB1F34">
      <w:pPr>
        <w:pStyle w:val="ListParagraph"/>
      </w:pPr>
    </w:p>
    <w:p w:rsidR="003B6985" w:rsidRPr="003B6985" w:rsidRDefault="003B6985" w:rsidP="003B6985">
      <w:pPr>
        <w:pStyle w:val="ListParagraph"/>
        <w:numPr>
          <w:ilvl w:val="0"/>
          <w:numId w:val="42"/>
        </w:numPr>
        <w:ind w:left="426" w:hanging="426"/>
      </w:pPr>
      <w:r>
        <w:rPr>
          <w:rFonts w:cs="Arial"/>
          <w:sz w:val="24"/>
          <w:szCs w:val="24"/>
        </w:rPr>
        <w:t>Australian g</w:t>
      </w:r>
      <w:r w:rsidRPr="003B6985">
        <w:rPr>
          <w:rFonts w:cs="Arial"/>
          <w:sz w:val="24"/>
          <w:szCs w:val="24"/>
        </w:rPr>
        <w:t>overnment</w:t>
      </w:r>
      <w:r>
        <w:rPr>
          <w:rFonts w:cs="Arial"/>
          <w:sz w:val="24"/>
          <w:szCs w:val="24"/>
        </w:rPr>
        <w:t>s</w:t>
      </w:r>
      <w:r w:rsidRPr="003B6985">
        <w:rPr>
          <w:rFonts w:cs="Arial"/>
          <w:sz w:val="24"/>
          <w:szCs w:val="24"/>
        </w:rPr>
        <w:t xml:space="preserve"> modify, repeal or nullify any law or policy, and counteract any practice or custom, which has the purpose or effect of denying or diminishing recognition of any person as a person before the law, or of denying or diminishing any person’s ability to exercise legal capacity; enact laws that recognise the right of all people in all situations to recognition before the law; that creates a presumption of legal capacity for all people, and which expressly extends to those circumstances where support may be required for a person to exercise legal capacity; and enshrine the primacy of supported decision-making mechanisms in the exercise of legal capacity.</w:t>
      </w:r>
    </w:p>
    <w:p w:rsidR="003B6985" w:rsidRDefault="003B6985" w:rsidP="003B6985">
      <w:pPr>
        <w:pStyle w:val="ListParagraph"/>
      </w:pPr>
    </w:p>
    <w:p w:rsidR="003B6985" w:rsidRPr="003B6985" w:rsidRDefault="003B6985" w:rsidP="003B6985">
      <w:pPr>
        <w:pStyle w:val="ListParagraph"/>
        <w:numPr>
          <w:ilvl w:val="0"/>
          <w:numId w:val="42"/>
        </w:numPr>
        <w:ind w:left="426" w:hanging="426"/>
      </w:pPr>
      <w:r w:rsidRPr="003B6985">
        <w:rPr>
          <w:rFonts w:eastAsia="Times New Roman" w:cs="Arial"/>
          <w:kern w:val="28"/>
          <w:sz w:val="24"/>
          <w:szCs w:val="24"/>
          <w:lang w:eastAsia="en-AU"/>
        </w:rPr>
        <w:t>Australia should establish a nationally consistent supported decision-making framework that strongly and positively promotes and supports people to effectively assert and exercise their legal capacity and enshrines the primacy of supported decision-making mechanisms.</w:t>
      </w:r>
      <w:r w:rsidRPr="003B6985">
        <w:rPr>
          <w:rFonts w:cs="Arial"/>
          <w:sz w:val="24"/>
          <w:szCs w:val="24"/>
        </w:rPr>
        <w:t xml:space="preserve"> </w:t>
      </w:r>
    </w:p>
    <w:p w:rsidR="003B6985" w:rsidRDefault="003B6985" w:rsidP="003B6985">
      <w:pPr>
        <w:pStyle w:val="ListParagraph"/>
      </w:pPr>
    </w:p>
    <w:p w:rsidR="001C1253" w:rsidRPr="003B6985" w:rsidRDefault="001C1253" w:rsidP="003B6985">
      <w:pPr>
        <w:pStyle w:val="ListParagraph"/>
        <w:numPr>
          <w:ilvl w:val="0"/>
          <w:numId w:val="42"/>
        </w:numPr>
        <w:ind w:left="426" w:hanging="426"/>
      </w:pPr>
      <w:r w:rsidRPr="003B6985">
        <w:rPr>
          <w:rFonts w:cs="Arial"/>
          <w:sz w:val="24"/>
          <w:szCs w:val="24"/>
        </w:rPr>
        <w:t>The Australian Government and State and Territory Governments move to eliminate all forms of forced treatment and restrictive practices on and against all people with disability. To commence this work, and in consultation with people with disability, the Australian Government conduct a comprehensive audit of laws, policies and administrative arrangements underpinning forced treatment and restrictive practices with a view to introducing reforms to eliminate laws and practices that relate to forced treatment and restrictive practices that inherently breach human rights.</w:t>
      </w:r>
    </w:p>
    <w:p w:rsidR="003B6985" w:rsidRDefault="003B6985" w:rsidP="003B6985">
      <w:pPr>
        <w:pStyle w:val="ListParagraph"/>
      </w:pPr>
    </w:p>
    <w:p w:rsidR="001C1253" w:rsidRPr="003B6985" w:rsidRDefault="001C1253" w:rsidP="003B6985">
      <w:pPr>
        <w:pStyle w:val="ListParagraph"/>
        <w:numPr>
          <w:ilvl w:val="0"/>
          <w:numId w:val="42"/>
        </w:numPr>
        <w:ind w:left="426" w:hanging="426"/>
      </w:pPr>
      <w:r w:rsidRPr="003B6985">
        <w:rPr>
          <w:rFonts w:cs="Arial"/>
          <w:sz w:val="24"/>
          <w:szCs w:val="24"/>
        </w:rPr>
        <w:t>Australia establishes a CRPD and CAT compliant nationally consistent legislative and administrative framework for the protection of people with disability from behaviour modification and restrictive practices that constitute torture and ill-treatment, including the prohibition of and criminal sanctions for these practices.</w:t>
      </w:r>
    </w:p>
    <w:p w:rsidR="00F45914" w:rsidRPr="003B6985" w:rsidRDefault="00F45914" w:rsidP="003B6985">
      <w:pPr>
        <w:tabs>
          <w:tab w:val="left" w:pos="1848"/>
          <w:tab w:val="left" w:pos="2773"/>
          <w:tab w:val="left" w:pos="3697"/>
          <w:tab w:val="left" w:pos="4621"/>
          <w:tab w:val="left" w:pos="5545"/>
          <w:tab w:val="left" w:pos="6469"/>
          <w:tab w:val="left" w:pos="7394"/>
          <w:tab w:val="left" w:pos="8318"/>
          <w:tab w:val="right" w:pos="8930"/>
        </w:tabs>
        <w:spacing w:after="160" w:line="259" w:lineRule="auto"/>
        <w:rPr>
          <w:rFonts w:cs="Arial"/>
          <w:b/>
          <w:sz w:val="24"/>
          <w:szCs w:val="24"/>
        </w:rPr>
      </w:pPr>
    </w:p>
    <w:p w:rsidR="00F45914" w:rsidRPr="00F45914" w:rsidRDefault="00F45914" w:rsidP="00F45914">
      <w:pPr>
        <w:pStyle w:val="ListParagraph"/>
        <w:rPr>
          <w:rFonts w:cs="Arial"/>
          <w:b/>
          <w:sz w:val="24"/>
          <w:szCs w:val="24"/>
        </w:rPr>
      </w:pPr>
    </w:p>
    <w:p w:rsidR="00DB1F34" w:rsidRDefault="00DB1F34">
      <w:pPr>
        <w:spacing w:after="0" w:line="240" w:lineRule="auto"/>
        <w:rPr>
          <w:rFonts w:ascii="Arial" w:eastAsiaTheme="majorEastAsia" w:hAnsi="Arial" w:cs="Arial"/>
          <w:b/>
          <w:bCs/>
          <w:color w:val="365F91" w:themeColor="accent1" w:themeShade="BF"/>
          <w:sz w:val="28"/>
          <w:szCs w:val="28"/>
        </w:rPr>
      </w:pPr>
      <w:r>
        <w:rPr>
          <w:rFonts w:ascii="Arial" w:hAnsi="Arial" w:cs="Arial"/>
        </w:rPr>
        <w:br w:type="page"/>
      </w:r>
    </w:p>
    <w:p w:rsidR="001C1253" w:rsidRPr="00F236C7" w:rsidRDefault="001C1253" w:rsidP="0040073F">
      <w:pPr>
        <w:pStyle w:val="Heading1"/>
        <w:numPr>
          <w:ilvl w:val="0"/>
          <w:numId w:val="38"/>
        </w:numPr>
        <w:spacing w:before="240" w:line="259" w:lineRule="auto"/>
        <w:ind w:left="284" w:hanging="284"/>
        <w:rPr>
          <w:rFonts w:ascii="Arial" w:hAnsi="Arial" w:cs="Arial"/>
        </w:rPr>
      </w:pPr>
      <w:r w:rsidRPr="00F236C7">
        <w:rPr>
          <w:rFonts w:ascii="Arial" w:hAnsi="Arial" w:cs="Arial"/>
        </w:rPr>
        <w:lastRenderedPageBreak/>
        <w:t xml:space="preserve">Indefinite detention of people with cognitive impairment and or psychosocial disability </w:t>
      </w:r>
    </w:p>
    <w:p w:rsidR="001C1253" w:rsidRPr="0054190C" w:rsidRDefault="0040073F" w:rsidP="001C1253">
      <w:pPr>
        <w:numPr>
          <w:ilvl w:val="0"/>
          <w:numId w:val="3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26" w:hanging="426"/>
        <w:contextualSpacing/>
        <w:jc w:val="both"/>
        <w:rPr>
          <w:rFonts w:cs="Arial"/>
          <w:color w:val="000000"/>
          <w:sz w:val="24"/>
          <w:szCs w:val="24"/>
        </w:rPr>
      </w:pPr>
      <w:r>
        <w:rPr>
          <w:rFonts w:cs="Arial"/>
          <w:color w:val="000000"/>
          <w:sz w:val="24"/>
          <w:szCs w:val="24"/>
        </w:rPr>
        <w:t>A</w:t>
      </w:r>
      <w:r w:rsidR="001C1253" w:rsidRPr="0054190C">
        <w:rPr>
          <w:rFonts w:cs="Arial"/>
          <w:color w:val="000000"/>
          <w:sz w:val="24"/>
          <w:szCs w:val="24"/>
        </w:rPr>
        <w:t xml:space="preserve"> key driver leading to the indefinite detention of people with cognitive impairment and/or psychosocial disability is a failure to recognise legal capacity. </w:t>
      </w:r>
      <w:r w:rsidR="001C1253" w:rsidRPr="0054190C">
        <w:rPr>
          <w:color w:val="000000"/>
          <w:sz w:val="24"/>
          <w:szCs w:val="24"/>
          <w:lang w:bidi="en-US"/>
        </w:rPr>
        <w:t>Article 12 of the CRPD</w:t>
      </w:r>
      <w:r>
        <w:rPr>
          <w:color w:val="000000"/>
          <w:sz w:val="24"/>
          <w:szCs w:val="24"/>
          <w:lang w:bidi="en-US"/>
        </w:rPr>
        <w:t>,</w:t>
      </w:r>
      <w:r w:rsidR="001C1253" w:rsidRPr="0054190C">
        <w:rPr>
          <w:color w:val="000000"/>
          <w:sz w:val="24"/>
          <w:szCs w:val="24"/>
          <w:lang w:bidi="en-US"/>
        </w:rPr>
        <w:t xml:space="preserve"> Equal Recognition Before the Law, establishes that all people with disability have legal capacity; that States have an obligation to provide support for the exercise of the capacity to act, including decision making support; that failure to provide this support constitutes discrimination; and that only in instances where it is absolutely not possible for an individual’s will and preference to be obtained can representative decisions (as opposed to best interest decisions) be made, subject to safeguards and based on rights and any previously expressed will and preferences.</w:t>
      </w:r>
      <w:r w:rsidR="001C1253" w:rsidRPr="0054190C">
        <w:rPr>
          <w:sz w:val="24"/>
          <w:szCs w:val="24"/>
          <w:vertAlign w:val="superscript"/>
          <w:lang w:bidi="en-US"/>
        </w:rPr>
        <w:footnoteReference w:id="10"/>
      </w:r>
      <w:r w:rsidR="001C1253" w:rsidRPr="0054190C">
        <w:rPr>
          <w:color w:val="000000"/>
          <w:sz w:val="24"/>
          <w:szCs w:val="24"/>
          <w:lang w:bidi="en-US"/>
        </w:rPr>
        <w:t xml:space="preserve"> </w:t>
      </w:r>
      <w:r w:rsidR="001C1253">
        <w:rPr>
          <w:color w:val="000000"/>
          <w:sz w:val="24"/>
          <w:szCs w:val="24"/>
          <w:lang w:bidi="en-US"/>
        </w:rPr>
        <w:t xml:space="preserve">There are three areas of law which operate in violation of the right of a person to exercise their legal capacity and </w:t>
      </w:r>
      <w:r>
        <w:rPr>
          <w:color w:val="000000"/>
          <w:sz w:val="24"/>
          <w:szCs w:val="24"/>
          <w:lang w:bidi="en-US"/>
        </w:rPr>
        <w:t xml:space="preserve">which </w:t>
      </w:r>
      <w:r w:rsidR="001C1253">
        <w:rPr>
          <w:color w:val="000000"/>
          <w:sz w:val="24"/>
          <w:szCs w:val="24"/>
          <w:lang w:bidi="en-US"/>
        </w:rPr>
        <w:t xml:space="preserve">can lead to detention of a person with disability which may become indefinite: </w:t>
      </w:r>
      <w:r w:rsidR="001C1253" w:rsidRPr="0054190C">
        <w:rPr>
          <w:rFonts w:cs="Arial"/>
          <w:color w:val="000000"/>
          <w:sz w:val="24"/>
          <w:szCs w:val="24"/>
        </w:rPr>
        <w:t xml:space="preserve">unfitness to plead legislation, </w:t>
      </w:r>
      <w:r w:rsidR="001C1253">
        <w:rPr>
          <w:rFonts w:cs="Arial"/>
          <w:color w:val="000000"/>
          <w:sz w:val="24"/>
          <w:szCs w:val="24"/>
        </w:rPr>
        <w:t xml:space="preserve">mental impairment legislation </w:t>
      </w:r>
      <w:r w:rsidR="001C1253" w:rsidRPr="0054190C">
        <w:rPr>
          <w:rFonts w:cs="Arial"/>
          <w:color w:val="000000"/>
          <w:sz w:val="24"/>
          <w:szCs w:val="24"/>
        </w:rPr>
        <w:t>and mental health laws</w:t>
      </w:r>
      <w:r w:rsidR="001C1253">
        <w:rPr>
          <w:color w:val="000000"/>
          <w:sz w:val="24"/>
          <w:szCs w:val="24"/>
          <w:lang w:bidi="en-US"/>
        </w:rPr>
        <w:t>.</w:t>
      </w:r>
    </w:p>
    <w:p w:rsidR="001C1253" w:rsidRPr="0040073F" w:rsidRDefault="001C1253" w:rsidP="001C1253">
      <w:pPr>
        <w:pStyle w:val="Heading2"/>
        <w:ind w:firstLine="426"/>
        <w:rPr>
          <w:color w:val="1F497D" w:themeColor="text2"/>
        </w:rPr>
      </w:pPr>
      <w:r w:rsidRPr="0040073F">
        <w:rPr>
          <w:color w:val="1F497D" w:themeColor="text2"/>
        </w:rPr>
        <w:t xml:space="preserve">Unfitness to plead </w:t>
      </w:r>
    </w:p>
    <w:p w:rsidR="001C1253" w:rsidRPr="0040073F" w:rsidRDefault="001C1253" w:rsidP="00082CC2">
      <w:pPr>
        <w:pStyle w:val="ListParagraph"/>
        <w:numPr>
          <w:ilvl w:val="0"/>
          <w:numId w:val="35"/>
        </w:numPr>
        <w:tabs>
          <w:tab w:val="left" w:pos="426"/>
          <w:tab w:val="left" w:pos="1848"/>
          <w:tab w:val="left" w:pos="2773"/>
          <w:tab w:val="left" w:pos="3697"/>
          <w:tab w:val="left" w:pos="4621"/>
          <w:tab w:val="left" w:pos="5545"/>
          <w:tab w:val="left" w:pos="6469"/>
          <w:tab w:val="left" w:pos="7394"/>
          <w:tab w:val="left" w:pos="8318"/>
          <w:tab w:val="right" w:pos="8930"/>
        </w:tabs>
        <w:spacing w:before="120" w:after="160"/>
        <w:ind w:left="425" w:hanging="425"/>
        <w:jc w:val="both"/>
        <w:rPr>
          <w:rFonts w:cs="Arial"/>
          <w:color w:val="000000"/>
          <w:sz w:val="24"/>
          <w:szCs w:val="24"/>
        </w:rPr>
      </w:pPr>
      <w:r w:rsidRPr="0040073F">
        <w:rPr>
          <w:sz w:val="24"/>
          <w:szCs w:val="24"/>
        </w:rPr>
        <w:t xml:space="preserve">All Australian jurisdictions have legislation in place that provides for a defendant to be found unfit to stand trial.  These justice diversion provisions are applied to people with cognitive impairment and/or psychosocial disability and can be raised as an </w:t>
      </w:r>
      <w:r w:rsidRPr="0040073F">
        <w:rPr>
          <w:sz w:val="24"/>
          <w:szCs w:val="24"/>
          <w:u w:color="BC2504"/>
        </w:rPr>
        <w:t>issue before or during the trial process.</w:t>
      </w:r>
      <w:r w:rsidRPr="00A25E3B">
        <w:rPr>
          <w:rStyle w:val="FootnoteReference"/>
          <w:sz w:val="24"/>
          <w:szCs w:val="24"/>
          <w:u w:color="BC2504"/>
        </w:rPr>
        <w:footnoteReference w:id="11"/>
      </w:r>
      <w:r w:rsidRPr="0040073F">
        <w:rPr>
          <w:sz w:val="24"/>
          <w:szCs w:val="24"/>
          <w:u w:color="BC2504"/>
        </w:rPr>
        <w:t xml:space="preserve">  </w:t>
      </w:r>
      <w:r w:rsidRPr="0040073F">
        <w:rPr>
          <w:sz w:val="24"/>
          <w:szCs w:val="24"/>
        </w:rPr>
        <w:t>The finding of unfitness is based on an assessment that the defendant is not able to understand the proceedings to the extent necessary to participate, and that to pr</w:t>
      </w:r>
      <w:r w:rsidR="005D3500">
        <w:rPr>
          <w:sz w:val="24"/>
          <w:szCs w:val="24"/>
        </w:rPr>
        <w:t xml:space="preserve">oceed would be unfair. However, despite their protective intent, </w:t>
      </w:r>
      <w:r w:rsidRPr="0040073F">
        <w:rPr>
          <w:bCs/>
          <w:sz w:val="24"/>
          <w:szCs w:val="24"/>
        </w:rPr>
        <w:t xml:space="preserve">these justice diversion provisions have resulted in </w:t>
      </w:r>
      <w:r w:rsidRPr="0040073F">
        <w:rPr>
          <w:rFonts w:eastAsia="Times New Roman"/>
          <w:sz w:val="24"/>
          <w:szCs w:val="24"/>
          <w:lang w:eastAsia="en-AU"/>
        </w:rPr>
        <w:t>people with disability being detained indefinitely in prisons or psychiatric facilities without being convicted of a crime, and for periods that may significantly exceed the maximum period of custodial sentence for the offence.</w:t>
      </w:r>
      <w:r w:rsidRPr="00A25E3B">
        <w:rPr>
          <w:rStyle w:val="FootnoteReference"/>
          <w:rFonts w:eastAsia="Times New Roman"/>
          <w:sz w:val="24"/>
          <w:szCs w:val="24"/>
          <w:lang w:eastAsia="en-AU"/>
        </w:rPr>
        <w:footnoteReference w:id="12"/>
      </w:r>
    </w:p>
    <w:p w:rsidR="001C1253" w:rsidRDefault="001C1253" w:rsidP="001C125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26"/>
        <w:contextualSpacing/>
        <w:jc w:val="both"/>
        <w:rPr>
          <w:b/>
          <w:i/>
          <w:sz w:val="24"/>
          <w:szCs w:val="24"/>
        </w:rPr>
      </w:pPr>
      <w:r w:rsidRPr="00441A8D">
        <w:rPr>
          <w:b/>
          <w:i/>
          <w:sz w:val="24"/>
          <w:szCs w:val="24"/>
        </w:rPr>
        <w:t xml:space="preserve">Case Study: Mr </w:t>
      </w:r>
      <w:r w:rsidR="004C205E">
        <w:rPr>
          <w:b/>
          <w:i/>
          <w:sz w:val="24"/>
          <w:szCs w:val="24"/>
        </w:rPr>
        <w:t>Noble</w:t>
      </w:r>
      <w:r w:rsidRPr="00441A8D">
        <w:rPr>
          <w:b/>
          <w:i/>
          <w:sz w:val="24"/>
          <w:szCs w:val="24"/>
        </w:rPr>
        <w:t xml:space="preserve"> is an Aboriginal man with intellectual disability. He spent ten years in a Western Australian prison without ever bei</w:t>
      </w:r>
      <w:r w:rsidR="004C205E">
        <w:rPr>
          <w:b/>
          <w:i/>
          <w:sz w:val="24"/>
          <w:szCs w:val="24"/>
        </w:rPr>
        <w:t xml:space="preserve">ng found guilty of a crime. Mr Noble </w:t>
      </w:r>
      <w:r w:rsidRPr="00441A8D">
        <w:rPr>
          <w:b/>
          <w:i/>
          <w:sz w:val="24"/>
          <w:szCs w:val="24"/>
        </w:rPr>
        <w:t xml:space="preserve">was charged with sexually assaulting two girls in 2001, but has never faced trial after he was deemed ‘unfit to plead’. His lawyer estimates that if he had been convicted he would have only served about five years in prison. There appears to be no evidence that the crimes he was charged with ever actually occurred. He was released in January 2012 under stringent </w:t>
      </w:r>
      <w:r w:rsidRPr="00441A8D">
        <w:rPr>
          <w:b/>
          <w:i/>
          <w:sz w:val="24"/>
          <w:szCs w:val="24"/>
        </w:rPr>
        <w:lastRenderedPageBreak/>
        <w:t>conditions that limit his ability to lead a normal life in the community, despite never being convicted of the crime he was charged with.</w:t>
      </w:r>
      <w:r w:rsidRPr="00441A8D">
        <w:rPr>
          <w:sz w:val="24"/>
          <w:szCs w:val="24"/>
          <w:vertAlign w:val="superscript"/>
        </w:rPr>
        <w:footnoteReference w:id="13"/>
      </w:r>
    </w:p>
    <w:p w:rsidR="001C1253" w:rsidRPr="0054190C" w:rsidRDefault="001C1253" w:rsidP="001C1253">
      <w:pPr>
        <w:pStyle w:val="ListParagraph"/>
        <w:numPr>
          <w:ilvl w:val="0"/>
          <w:numId w:val="35"/>
        </w:numPr>
        <w:spacing w:after="160" w:line="259" w:lineRule="auto"/>
        <w:ind w:left="426" w:hanging="426"/>
        <w:rPr>
          <w:rFonts w:eastAsia="Times New Roman" w:cs="Arial"/>
          <w:sz w:val="24"/>
          <w:szCs w:val="24"/>
        </w:rPr>
      </w:pPr>
      <w:r w:rsidRPr="0054190C">
        <w:rPr>
          <w:rFonts w:eastAsia="Times New Roman" w:cs="Arial"/>
          <w:sz w:val="24"/>
          <w:szCs w:val="24"/>
        </w:rPr>
        <w:t>In 2013</w:t>
      </w:r>
      <w:r>
        <w:rPr>
          <w:rStyle w:val="FootnoteReference"/>
          <w:rFonts w:eastAsia="Times New Roman" w:cs="Arial"/>
          <w:sz w:val="24"/>
          <w:szCs w:val="24"/>
        </w:rPr>
        <w:footnoteReference w:id="14"/>
      </w:r>
      <w:r w:rsidRPr="0054190C">
        <w:rPr>
          <w:rFonts w:eastAsia="Times New Roman" w:cs="Arial"/>
          <w:sz w:val="24"/>
          <w:szCs w:val="24"/>
        </w:rPr>
        <w:t>, the CRPD Committee recommended that Australia establish “legislative, administrative and support frameworks that comply with the Convention”, and stop using prisons “for the management of unconvicted persons with disabilities”.</w:t>
      </w:r>
      <w:r w:rsidRPr="0054190C">
        <w:rPr>
          <w:rStyle w:val="FootnoteReference"/>
          <w:rFonts w:cs="Arial"/>
          <w:sz w:val="24"/>
          <w:szCs w:val="24"/>
        </w:rPr>
        <w:footnoteReference w:id="15"/>
      </w:r>
      <w:r w:rsidRPr="0054190C">
        <w:rPr>
          <w:rFonts w:eastAsia="Times New Roman" w:cs="Arial"/>
          <w:sz w:val="24"/>
          <w:szCs w:val="24"/>
        </w:rPr>
        <w:t xml:space="preserve"> </w:t>
      </w:r>
      <w:r w:rsidRPr="0054190C">
        <w:rPr>
          <w:rFonts w:cs="Arial"/>
          <w:sz w:val="24"/>
          <w:szCs w:val="24"/>
        </w:rPr>
        <w:t>In 2014, the Australian Human Rights Commission (AHRC) found that the Commonwealth had failed: “to take measures to work with the Northern Territory to provide accommodation and other support services, other than accommodation in a maximum security prison, for people with intellectual disabilities who are unfit to plead to criminal charges”.</w:t>
      </w:r>
      <w:r w:rsidRPr="0054190C">
        <w:rPr>
          <w:rStyle w:val="FootnoteReference"/>
          <w:rFonts w:cs="Arial"/>
          <w:sz w:val="24"/>
          <w:szCs w:val="24"/>
        </w:rPr>
        <w:footnoteReference w:id="16"/>
      </w:r>
    </w:p>
    <w:p w:rsidR="001C1253" w:rsidRPr="0054190C" w:rsidRDefault="001C1253" w:rsidP="001C1253">
      <w:pPr>
        <w:pStyle w:val="ListParagraph"/>
        <w:ind w:left="426"/>
        <w:rPr>
          <w:rFonts w:eastAsia="Times New Roman" w:cs="Arial"/>
          <w:sz w:val="24"/>
          <w:szCs w:val="24"/>
        </w:rPr>
      </w:pPr>
    </w:p>
    <w:p w:rsidR="001C1253" w:rsidRPr="0054190C" w:rsidRDefault="001C1253" w:rsidP="001C1253">
      <w:pPr>
        <w:pStyle w:val="ListParagraph"/>
        <w:numPr>
          <w:ilvl w:val="0"/>
          <w:numId w:val="35"/>
        </w:numPr>
        <w:spacing w:after="160" w:line="259" w:lineRule="auto"/>
        <w:ind w:left="426" w:hanging="426"/>
        <w:rPr>
          <w:rFonts w:eastAsia="Times New Roman" w:cs="Arial"/>
          <w:sz w:val="24"/>
          <w:szCs w:val="24"/>
        </w:rPr>
      </w:pPr>
      <w:r w:rsidRPr="0054190C">
        <w:rPr>
          <w:rFonts w:eastAsia="Times New Roman" w:cs="Arial"/>
          <w:sz w:val="24"/>
          <w:szCs w:val="24"/>
        </w:rPr>
        <w:t>The complainants in this case were four Aboriginal men with cognitive disability who complained that their detention was arbitrary, the conditions of their detention were inhumane, and “the lack of alternatives to detention…and the lack of mental health and rehabilitation services” had resulted in a breach of their human rights.</w:t>
      </w:r>
      <w:r w:rsidRPr="0054190C">
        <w:rPr>
          <w:rStyle w:val="FootnoteReference"/>
          <w:rFonts w:eastAsia="Times New Roman" w:cs="Arial"/>
          <w:sz w:val="24"/>
          <w:szCs w:val="24"/>
        </w:rPr>
        <w:footnoteReference w:id="17"/>
      </w:r>
      <w:r w:rsidRPr="0054190C">
        <w:rPr>
          <w:rFonts w:eastAsia="Times New Roman" w:cs="Arial"/>
          <w:sz w:val="24"/>
          <w:szCs w:val="24"/>
        </w:rPr>
        <w:t xml:space="preserve">  The AHRC found that the </w:t>
      </w:r>
      <w:r w:rsidRPr="00A25E3B">
        <w:rPr>
          <w:rFonts w:eastAsia="Times New Roman" w:cs="Arial"/>
          <w:sz w:val="24"/>
          <w:szCs w:val="24"/>
        </w:rPr>
        <w:t>Commonwealth had breached rights to liberty and security of the person under articles 9(1) and 10(1) of the International Covenant on Civil and Political Rights (ICCPR)</w:t>
      </w:r>
      <w:r w:rsidRPr="00A25E3B">
        <w:rPr>
          <w:rStyle w:val="FootnoteReference"/>
          <w:rFonts w:eastAsia="Times New Roman" w:cs="Arial"/>
          <w:sz w:val="24"/>
          <w:szCs w:val="24"/>
        </w:rPr>
        <w:footnoteReference w:id="18"/>
      </w:r>
      <w:r w:rsidRPr="00A25E3B">
        <w:rPr>
          <w:rFonts w:eastAsia="Times New Roman" w:cs="Arial"/>
          <w:sz w:val="24"/>
          <w:szCs w:val="24"/>
        </w:rPr>
        <w:t xml:space="preserve"> and article 14(1) of the CRPD. It also found breaches to CRPD articles 19 [Living independently and being included in the community]; 25 [Health</w:t>
      </w:r>
      <w:r w:rsidRPr="0054190C">
        <w:rPr>
          <w:rFonts w:eastAsia="Times New Roman" w:cs="Arial"/>
          <w:sz w:val="24"/>
          <w:szCs w:val="24"/>
        </w:rPr>
        <w:t>]; 26 [</w:t>
      </w:r>
      <w:proofErr w:type="spellStart"/>
      <w:r w:rsidRPr="0054190C">
        <w:rPr>
          <w:rFonts w:eastAsia="Times New Roman" w:cs="Arial"/>
          <w:sz w:val="24"/>
          <w:szCs w:val="24"/>
        </w:rPr>
        <w:t>Habilitation</w:t>
      </w:r>
      <w:proofErr w:type="spellEnd"/>
      <w:r w:rsidRPr="0054190C">
        <w:rPr>
          <w:rFonts w:eastAsia="Times New Roman" w:cs="Arial"/>
          <w:sz w:val="24"/>
          <w:szCs w:val="24"/>
        </w:rPr>
        <w:t xml:space="preserve"> and rehabilitation]; and in the case of two of the complainants, the AHRC found they had been subjected to torture and ill-treatment in breach of ICCPR article 7 and CRPD article 15, [Freedom from torture or cruel, inhuman or degrading treatment or punishment].</w:t>
      </w:r>
      <w:r w:rsidRPr="0054190C">
        <w:rPr>
          <w:rStyle w:val="FootnoteReference"/>
          <w:rFonts w:eastAsia="Times New Roman" w:cs="Arial"/>
          <w:sz w:val="24"/>
          <w:szCs w:val="24"/>
        </w:rPr>
        <w:footnoteReference w:id="19"/>
      </w:r>
    </w:p>
    <w:p w:rsidR="001C1253" w:rsidRPr="0054190C" w:rsidRDefault="001C1253" w:rsidP="001C1253">
      <w:pPr>
        <w:pStyle w:val="ListParagraph"/>
        <w:rPr>
          <w:rFonts w:eastAsia="Times New Roman" w:cs="Arial"/>
          <w:sz w:val="24"/>
          <w:szCs w:val="24"/>
        </w:rPr>
      </w:pPr>
    </w:p>
    <w:p w:rsidR="001C1253" w:rsidRPr="0054190C" w:rsidRDefault="001C1253" w:rsidP="001C1253">
      <w:pPr>
        <w:pStyle w:val="ListParagraph"/>
        <w:numPr>
          <w:ilvl w:val="0"/>
          <w:numId w:val="35"/>
        </w:numPr>
        <w:spacing w:after="160" w:line="259" w:lineRule="auto"/>
        <w:ind w:left="426" w:hanging="426"/>
        <w:rPr>
          <w:rFonts w:eastAsia="Times New Roman" w:cs="Arial"/>
          <w:sz w:val="24"/>
          <w:szCs w:val="24"/>
        </w:rPr>
      </w:pPr>
      <w:r w:rsidRPr="0054190C">
        <w:rPr>
          <w:rFonts w:eastAsia="Times New Roman" w:cs="Arial"/>
          <w:sz w:val="24"/>
          <w:szCs w:val="24"/>
        </w:rPr>
        <w:t xml:space="preserve">The Australian Government rejected the finding, stating that the complaint was not within the jurisdiction of the Commonwealth but a </w:t>
      </w:r>
      <w:r w:rsidR="007D2F70">
        <w:rPr>
          <w:rFonts w:eastAsia="Times New Roman" w:cs="Arial"/>
          <w:sz w:val="24"/>
          <w:szCs w:val="24"/>
        </w:rPr>
        <w:t>matter for S</w:t>
      </w:r>
      <w:r w:rsidRPr="0054190C">
        <w:rPr>
          <w:rFonts w:eastAsia="Times New Roman" w:cs="Arial"/>
          <w:sz w:val="24"/>
          <w:szCs w:val="24"/>
        </w:rPr>
        <w:t xml:space="preserve">tate and </w:t>
      </w:r>
      <w:r w:rsidR="007D2F70">
        <w:rPr>
          <w:rFonts w:eastAsia="Times New Roman" w:cs="Arial"/>
          <w:sz w:val="24"/>
          <w:szCs w:val="24"/>
        </w:rPr>
        <w:t>T</w:t>
      </w:r>
      <w:r w:rsidRPr="0054190C">
        <w:rPr>
          <w:rFonts w:eastAsia="Times New Roman" w:cs="Arial"/>
          <w:sz w:val="24"/>
          <w:szCs w:val="24"/>
        </w:rPr>
        <w:t>erritory governments, and it would therefore “not engage in a detailed assessment of [the AHRC’s] recommendations”.</w:t>
      </w:r>
      <w:r w:rsidRPr="0054190C">
        <w:rPr>
          <w:rStyle w:val="FootnoteReference"/>
          <w:rFonts w:eastAsia="Times New Roman" w:cs="Arial"/>
          <w:sz w:val="24"/>
          <w:szCs w:val="24"/>
        </w:rPr>
        <w:footnoteReference w:id="20"/>
      </w:r>
      <w:r w:rsidRPr="0054190C">
        <w:rPr>
          <w:rFonts w:eastAsia="Times New Roman" w:cs="Arial"/>
          <w:sz w:val="24"/>
          <w:szCs w:val="24"/>
        </w:rPr>
        <w:t xml:space="preserve"> The Australian Government has ‘washed its hands’ of the significant human rights violations experienced by these four men, and effectively of the violence, abuse and neglect that is inherent to the indefinite detention of unconvicted people with disability in prisons and other facilities.</w:t>
      </w:r>
    </w:p>
    <w:p w:rsidR="001C1253" w:rsidRPr="0054190C" w:rsidRDefault="001C1253" w:rsidP="001C1253">
      <w:pPr>
        <w:pStyle w:val="ListParagraph"/>
        <w:rPr>
          <w:rFonts w:eastAsia="Times New Roman" w:cs="Arial"/>
          <w:sz w:val="24"/>
          <w:szCs w:val="24"/>
          <w:lang w:eastAsia="en-AU"/>
        </w:rPr>
      </w:pPr>
    </w:p>
    <w:p w:rsidR="001C1253" w:rsidRPr="0054190C" w:rsidRDefault="001C1253" w:rsidP="00082CC2">
      <w:pPr>
        <w:pStyle w:val="ListParagraph"/>
        <w:numPr>
          <w:ilvl w:val="0"/>
          <w:numId w:val="35"/>
        </w:numPr>
        <w:spacing w:after="160" w:line="259" w:lineRule="auto"/>
        <w:ind w:left="425" w:hanging="425"/>
        <w:contextualSpacing w:val="0"/>
        <w:rPr>
          <w:rFonts w:eastAsia="Times New Roman" w:cs="Arial"/>
          <w:sz w:val="24"/>
          <w:szCs w:val="24"/>
        </w:rPr>
      </w:pPr>
      <w:r w:rsidRPr="0054190C">
        <w:rPr>
          <w:rFonts w:eastAsia="Times New Roman" w:cs="Arial"/>
          <w:sz w:val="24"/>
          <w:szCs w:val="24"/>
          <w:lang w:eastAsia="en-AU"/>
        </w:rPr>
        <w:lastRenderedPageBreak/>
        <w:t>The response to the issue of indefinite detention in the Northern Territory and Western Australian has been to build Disability Justice Centres, and in Queensland to detain people in its Forensic Disability Service and highly restrictive ‘community based treatment settings’.  However, these facilities still operate as institutional places of detention, with features such as long term solitary living arrangements, locked windows and doors, video surveillance and limited opportunities for physical, recreational, therapeutic, rehabilitation or social activities.</w:t>
      </w:r>
      <w:r w:rsidR="00B6170D">
        <w:rPr>
          <w:rStyle w:val="FootnoteReference"/>
          <w:rFonts w:eastAsia="Times New Roman" w:cs="Arial"/>
          <w:sz w:val="24"/>
          <w:szCs w:val="24"/>
          <w:lang w:eastAsia="en-AU"/>
        </w:rPr>
        <w:footnoteReference w:id="21"/>
      </w:r>
    </w:p>
    <w:p w:rsidR="001C1253" w:rsidRPr="00A25E3B" w:rsidRDefault="001C1253" w:rsidP="001C1253">
      <w:pPr>
        <w:pStyle w:val="ListParagraph"/>
        <w:ind w:left="426"/>
        <w:rPr>
          <w:b/>
          <w:i/>
          <w:sz w:val="24"/>
          <w:szCs w:val="24"/>
          <w:lang w:val="en-US"/>
        </w:rPr>
      </w:pPr>
      <w:r w:rsidRPr="00A25E3B">
        <w:rPr>
          <w:b/>
          <w:i/>
          <w:sz w:val="24"/>
          <w:szCs w:val="24"/>
          <w:lang w:val="en-US"/>
        </w:rPr>
        <w:t xml:space="preserve">Case Study: </w:t>
      </w:r>
      <w:proofErr w:type="spellStart"/>
      <w:r w:rsidRPr="00A25E3B">
        <w:rPr>
          <w:b/>
          <w:i/>
          <w:sz w:val="24"/>
          <w:szCs w:val="24"/>
          <w:lang w:val="en-US"/>
        </w:rPr>
        <w:t>Mr</w:t>
      </w:r>
      <w:proofErr w:type="spellEnd"/>
      <w:r w:rsidRPr="00A25E3B">
        <w:rPr>
          <w:b/>
          <w:i/>
          <w:sz w:val="24"/>
          <w:szCs w:val="24"/>
          <w:lang w:val="en-US"/>
        </w:rPr>
        <w:t xml:space="preserve"> J is 24 and has acquired brain injury.  He has been ordered to live in a ‘community forensic facility’   after being found unfit to plead to a charge of assault.  The ‘duplex’ where he lives is on the same grounds as the prison and he lives there alone, his only regular contact being with the staff who monitor the 24 hour surveillance from the observation window.   A cage covers the small outside yard and windows and doors are locked, including the bathroom so he must request permission to use the toilet, shower or to get water. The duplex contains one table and bench bolted to the floor and a bed.  James has no visitors as his parents live hours away, he has little opportunity to exercise and there are no recreational opportunities - he has no books, TV, radio or computer to maintain contact with the outside world. He told his advocate, ‘’I don’t understand why I’m here, I’d rather be in prison’</w:t>
      </w:r>
      <w:r w:rsidRPr="00A25E3B">
        <w:rPr>
          <w:i/>
          <w:sz w:val="24"/>
          <w:szCs w:val="24"/>
          <w:vertAlign w:val="superscript"/>
          <w:lang w:val="en-US"/>
        </w:rPr>
        <w:footnoteReference w:id="22"/>
      </w:r>
    </w:p>
    <w:p w:rsidR="001C1253" w:rsidRPr="0054190C" w:rsidRDefault="001C1253" w:rsidP="001C1253">
      <w:pPr>
        <w:pStyle w:val="ListParagraph"/>
        <w:spacing w:after="0"/>
        <w:ind w:hanging="720"/>
        <w:rPr>
          <w:rFonts w:eastAsia="Times New Roman" w:cs="Arial"/>
          <w:sz w:val="24"/>
          <w:szCs w:val="24"/>
          <w:lang w:eastAsia="en-AU"/>
        </w:rPr>
      </w:pPr>
    </w:p>
    <w:p w:rsidR="001C1253" w:rsidRDefault="001C1253" w:rsidP="001C1253">
      <w:pPr>
        <w:pStyle w:val="ListParagraph"/>
        <w:numPr>
          <w:ilvl w:val="0"/>
          <w:numId w:val="35"/>
        </w:numPr>
        <w:spacing w:after="0"/>
        <w:ind w:left="426" w:hanging="426"/>
        <w:rPr>
          <w:rFonts w:eastAsia="Times New Roman" w:cs="Arial"/>
          <w:sz w:val="24"/>
          <w:szCs w:val="24"/>
          <w:lang w:eastAsia="en-AU"/>
        </w:rPr>
      </w:pPr>
      <w:r w:rsidRPr="0054190C">
        <w:rPr>
          <w:rFonts w:eastAsia="Times New Roman" w:cs="Arial"/>
          <w:sz w:val="24"/>
          <w:szCs w:val="24"/>
          <w:lang w:eastAsia="en-AU"/>
        </w:rPr>
        <w:t>Congregating unconvicted people with disability in this way can increase stigma towards people with disability and community perceptions of dangerousness.  It is also well documented that the institutional congregation of people with disability intensifies their exposure to restrictive practices and other forms of violence, abuse and neglect.  The development of this new form of institution for people with disability is discriminatory; and also heightens the imperative for Australia to implement a robust oversight mechanism to monitor places of detention such as the model provided by the Optional Protocol on the Convention against Torture (OPCAT).</w:t>
      </w:r>
      <w:r w:rsidRPr="0054190C">
        <w:rPr>
          <w:rStyle w:val="FootnoteReference"/>
          <w:rFonts w:eastAsia="Times New Roman" w:cs="Arial"/>
          <w:sz w:val="24"/>
          <w:szCs w:val="24"/>
          <w:lang w:eastAsia="en-AU"/>
        </w:rPr>
        <w:footnoteReference w:id="23"/>
      </w:r>
    </w:p>
    <w:p w:rsidR="001C1253" w:rsidRDefault="001C1253" w:rsidP="001C1253">
      <w:pPr>
        <w:pStyle w:val="ListParagraph"/>
        <w:spacing w:after="0"/>
        <w:ind w:left="426"/>
        <w:rPr>
          <w:rFonts w:eastAsia="Times New Roman" w:cs="Arial"/>
          <w:sz w:val="24"/>
          <w:szCs w:val="24"/>
          <w:lang w:eastAsia="en-AU"/>
        </w:rPr>
      </w:pPr>
    </w:p>
    <w:p w:rsidR="001C1253" w:rsidRPr="00C9394E" w:rsidRDefault="001C1253" w:rsidP="001C1253">
      <w:pPr>
        <w:pStyle w:val="ListParagraph"/>
        <w:numPr>
          <w:ilvl w:val="0"/>
          <w:numId w:val="35"/>
        </w:numPr>
        <w:spacing w:after="0"/>
        <w:ind w:left="426" w:hanging="426"/>
        <w:rPr>
          <w:rFonts w:eastAsia="Times New Roman" w:cs="Arial"/>
          <w:sz w:val="24"/>
          <w:szCs w:val="24"/>
          <w:lang w:eastAsia="en-AU"/>
        </w:rPr>
      </w:pPr>
      <w:r w:rsidRPr="0054190C">
        <w:rPr>
          <w:rFonts w:cs="Arial"/>
          <w:bCs/>
          <w:sz w:val="24"/>
          <w:szCs w:val="24"/>
        </w:rPr>
        <w:t>In reviewing Commonwealth laws and programs and legal capacity for people with disability, the Australian Law Reform Commission recommended reform of the ‘unfitness’ test, provision of supports, limits and reviews on detention.</w:t>
      </w:r>
      <w:r w:rsidR="00B6170D" w:rsidRPr="0054190C">
        <w:rPr>
          <w:rStyle w:val="FootnoteReference"/>
          <w:rFonts w:cs="Arial"/>
          <w:sz w:val="24"/>
          <w:szCs w:val="24"/>
        </w:rPr>
        <w:footnoteReference w:id="24"/>
      </w:r>
      <w:r w:rsidRPr="0054190C">
        <w:rPr>
          <w:rFonts w:cs="Arial"/>
          <w:bCs/>
          <w:sz w:val="24"/>
          <w:szCs w:val="24"/>
        </w:rPr>
        <w:t xml:space="preserve"> Australia has yet to respond to this report.</w:t>
      </w:r>
    </w:p>
    <w:p w:rsidR="001C1253" w:rsidRDefault="001C1253" w:rsidP="003500A2">
      <w:pPr>
        <w:pStyle w:val="Heading2"/>
        <w:ind w:firstLine="425"/>
        <w:rPr>
          <w:color w:val="1F497D" w:themeColor="text2"/>
        </w:rPr>
      </w:pPr>
      <w:r w:rsidRPr="007D2F70">
        <w:rPr>
          <w:color w:val="1F497D" w:themeColor="text2"/>
        </w:rPr>
        <w:t xml:space="preserve">Mental impairment defence </w:t>
      </w:r>
    </w:p>
    <w:p w:rsidR="001C1253" w:rsidRPr="0054190C" w:rsidRDefault="001C1253" w:rsidP="003500A2">
      <w:pPr>
        <w:pStyle w:val="ListParagraph"/>
        <w:numPr>
          <w:ilvl w:val="0"/>
          <w:numId w:val="35"/>
        </w:numPr>
        <w:tabs>
          <w:tab w:val="left" w:pos="142"/>
        </w:tabs>
        <w:spacing w:before="120" w:after="0" w:line="259" w:lineRule="auto"/>
        <w:ind w:left="425" w:right="-23" w:hanging="425"/>
        <w:contextualSpacing w:val="0"/>
        <w:rPr>
          <w:sz w:val="24"/>
          <w:szCs w:val="24"/>
        </w:rPr>
      </w:pPr>
      <w:r w:rsidRPr="0054190C">
        <w:rPr>
          <w:rFonts w:cs="Arial"/>
          <w:sz w:val="24"/>
          <w:szCs w:val="24"/>
        </w:rPr>
        <w:t xml:space="preserve">All Australian jurisdictions have legislation in place that provides for the defence of ‘mental impairment’ when it is clearly proven that at the time of committing the </w:t>
      </w:r>
      <w:r>
        <w:rPr>
          <w:rFonts w:cs="Arial"/>
          <w:sz w:val="24"/>
          <w:szCs w:val="24"/>
        </w:rPr>
        <w:t xml:space="preserve">criminal </w:t>
      </w:r>
      <w:r w:rsidRPr="0054190C">
        <w:rPr>
          <w:rFonts w:cs="Arial"/>
          <w:sz w:val="24"/>
          <w:szCs w:val="24"/>
        </w:rPr>
        <w:t xml:space="preserve">act, the </w:t>
      </w:r>
      <w:r w:rsidRPr="0054190C">
        <w:rPr>
          <w:rFonts w:cs="Arial"/>
          <w:sz w:val="24"/>
          <w:szCs w:val="24"/>
        </w:rPr>
        <w:lastRenderedPageBreak/>
        <w:t>accused’s state of mind meant that they did not know what they were doing, or if they did, that it was wrong. The</w:t>
      </w:r>
      <w:r>
        <w:rPr>
          <w:rFonts w:cs="Arial"/>
          <w:sz w:val="24"/>
          <w:szCs w:val="24"/>
        </w:rPr>
        <w:t xml:space="preserve"> recognition of legal capacity and</w:t>
      </w:r>
      <w:r w:rsidRPr="0054190C">
        <w:rPr>
          <w:rFonts w:cs="Arial"/>
          <w:sz w:val="24"/>
          <w:szCs w:val="24"/>
        </w:rPr>
        <w:t xml:space="preserve"> adequate provision of disability support to enable a person to participate in a trial does not impact upon this circumstance</w:t>
      </w:r>
      <w:r>
        <w:rPr>
          <w:rFonts w:cs="Arial"/>
          <w:sz w:val="24"/>
          <w:szCs w:val="24"/>
        </w:rPr>
        <w:t xml:space="preserve">. It is different to a test of </w:t>
      </w:r>
      <w:r w:rsidR="00B11871">
        <w:rPr>
          <w:rFonts w:cs="Arial"/>
          <w:sz w:val="24"/>
          <w:szCs w:val="24"/>
        </w:rPr>
        <w:t>‘</w:t>
      </w:r>
      <w:r>
        <w:rPr>
          <w:rFonts w:cs="Arial"/>
          <w:sz w:val="24"/>
          <w:szCs w:val="24"/>
        </w:rPr>
        <w:t>unfitness</w:t>
      </w:r>
      <w:r w:rsidR="00B11871">
        <w:rPr>
          <w:rFonts w:cs="Arial"/>
          <w:sz w:val="24"/>
          <w:szCs w:val="24"/>
        </w:rPr>
        <w:t>’</w:t>
      </w:r>
      <w:r>
        <w:rPr>
          <w:rFonts w:cs="Arial"/>
          <w:sz w:val="24"/>
          <w:szCs w:val="24"/>
        </w:rPr>
        <w:t xml:space="preserve"> </w:t>
      </w:r>
      <w:r w:rsidRPr="0054190C">
        <w:rPr>
          <w:rFonts w:cs="Arial"/>
          <w:sz w:val="24"/>
          <w:szCs w:val="24"/>
        </w:rPr>
        <w:t xml:space="preserve">as it turns on whether the </w:t>
      </w:r>
      <w:r>
        <w:rPr>
          <w:rFonts w:cs="Arial"/>
          <w:sz w:val="24"/>
          <w:szCs w:val="24"/>
        </w:rPr>
        <w:t xml:space="preserve">defendant </w:t>
      </w:r>
      <w:r w:rsidRPr="0054190C">
        <w:rPr>
          <w:rFonts w:cs="Arial"/>
          <w:sz w:val="24"/>
          <w:szCs w:val="24"/>
        </w:rPr>
        <w:t>had the necessary intention to commit the crime at the time</w:t>
      </w:r>
      <w:r>
        <w:rPr>
          <w:rFonts w:cs="Arial"/>
          <w:sz w:val="24"/>
          <w:szCs w:val="24"/>
        </w:rPr>
        <w:t xml:space="preserve"> the act was done as opposed to the impact of disability on the fairness of proceedings. </w:t>
      </w:r>
    </w:p>
    <w:p w:rsidR="001C1253" w:rsidRPr="0054190C" w:rsidRDefault="001C1253" w:rsidP="001C1253">
      <w:pPr>
        <w:pStyle w:val="ListParagraph"/>
        <w:tabs>
          <w:tab w:val="left" w:pos="142"/>
        </w:tabs>
        <w:ind w:left="0" w:right="9615"/>
        <w:rPr>
          <w:sz w:val="24"/>
          <w:szCs w:val="24"/>
        </w:rPr>
      </w:pPr>
    </w:p>
    <w:p w:rsidR="001C1253" w:rsidRPr="00C9394E" w:rsidRDefault="001C1253" w:rsidP="001C1253">
      <w:pPr>
        <w:pStyle w:val="ListParagraph"/>
        <w:numPr>
          <w:ilvl w:val="0"/>
          <w:numId w:val="35"/>
        </w:numPr>
        <w:tabs>
          <w:tab w:val="left" w:pos="142"/>
        </w:tabs>
        <w:spacing w:after="160" w:line="259" w:lineRule="auto"/>
        <w:ind w:left="426" w:right="-24" w:hanging="426"/>
        <w:rPr>
          <w:sz w:val="24"/>
          <w:szCs w:val="24"/>
        </w:rPr>
      </w:pPr>
      <w:r w:rsidRPr="0054190C">
        <w:rPr>
          <w:rFonts w:cs="Arial"/>
          <w:sz w:val="24"/>
          <w:szCs w:val="24"/>
        </w:rPr>
        <w:t xml:space="preserve">However, people who are found not guilty by reason of ‘mental impairment’ become forensic patients in prisons, hospitals, psychiatric facilities or other places of detention such as Disability Justice Centres.  Their situation is then reviewed by a </w:t>
      </w:r>
      <w:r>
        <w:rPr>
          <w:rFonts w:cs="Arial"/>
          <w:sz w:val="24"/>
          <w:szCs w:val="24"/>
        </w:rPr>
        <w:t xml:space="preserve">Mental Health </w:t>
      </w:r>
      <w:r w:rsidRPr="0054190C">
        <w:rPr>
          <w:rFonts w:cs="Arial"/>
          <w:sz w:val="24"/>
          <w:szCs w:val="24"/>
        </w:rPr>
        <w:t>Tribunal that determines whether the person should be released into the community, and if so under what conditions.</w:t>
      </w:r>
      <w:r>
        <w:rPr>
          <w:rFonts w:cs="Arial"/>
          <w:sz w:val="24"/>
          <w:szCs w:val="24"/>
        </w:rPr>
        <w:t xml:space="preserve">  </w:t>
      </w:r>
    </w:p>
    <w:p w:rsidR="001C1253" w:rsidRPr="00C9394E" w:rsidRDefault="001C1253" w:rsidP="001C1253">
      <w:pPr>
        <w:pStyle w:val="ListParagraph"/>
        <w:rPr>
          <w:rFonts w:cs="Arial"/>
          <w:sz w:val="24"/>
          <w:szCs w:val="24"/>
        </w:rPr>
      </w:pPr>
    </w:p>
    <w:p w:rsidR="001C1253" w:rsidRPr="0054190C" w:rsidRDefault="001C1253" w:rsidP="001C1253">
      <w:pPr>
        <w:pStyle w:val="ListParagraph"/>
        <w:numPr>
          <w:ilvl w:val="0"/>
          <w:numId w:val="35"/>
        </w:numPr>
        <w:tabs>
          <w:tab w:val="left" w:pos="142"/>
        </w:tabs>
        <w:spacing w:after="160" w:line="259" w:lineRule="auto"/>
        <w:ind w:left="426" w:right="-24" w:hanging="426"/>
        <w:rPr>
          <w:sz w:val="24"/>
          <w:szCs w:val="24"/>
        </w:rPr>
      </w:pPr>
      <w:r w:rsidRPr="0054190C">
        <w:rPr>
          <w:rFonts w:cs="Arial"/>
          <w:sz w:val="24"/>
          <w:szCs w:val="24"/>
        </w:rPr>
        <w:t>Forensic treatment orders may not be time limited, and even if they are</w:t>
      </w:r>
      <w:r w:rsidR="003500A2">
        <w:rPr>
          <w:rFonts w:cs="Arial"/>
          <w:sz w:val="24"/>
          <w:szCs w:val="24"/>
        </w:rPr>
        <w:t>,</w:t>
      </w:r>
      <w:r w:rsidRPr="0054190C">
        <w:rPr>
          <w:rFonts w:cs="Arial"/>
          <w:sz w:val="24"/>
          <w:szCs w:val="24"/>
        </w:rPr>
        <w:t xml:space="preserve"> can frequently be renewed on expiry by the Tribunal. The decision is based on an assessment of harm to others and whether the person can safely be released into the community</w:t>
      </w:r>
      <w:r>
        <w:rPr>
          <w:rFonts w:cs="Arial"/>
          <w:sz w:val="24"/>
          <w:szCs w:val="24"/>
        </w:rPr>
        <w:t xml:space="preserve"> which </w:t>
      </w:r>
      <w:r w:rsidRPr="0054190C">
        <w:rPr>
          <w:rFonts w:cs="Arial"/>
          <w:sz w:val="24"/>
          <w:szCs w:val="24"/>
        </w:rPr>
        <w:t xml:space="preserve">again </w:t>
      </w:r>
      <w:r>
        <w:rPr>
          <w:rFonts w:cs="Arial"/>
          <w:sz w:val="24"/>
          <w:szCs w:val="24"/>
        </w:rPr>
        <w:t xml:space="preserve">can </w:t>
      </w:r>
      <w:r w:rsidRPr="0054190C">
        <w:rPr>
          <w:rFonts w:cs="Arial"/>
          <w:sz w:val="24"/>
          <w:szCs w:val="24"/>
        </w:rPr>
        <w:t>result in people with disability being detained indefinitely, or “detained forever—even though they are actually found not guilty by law”</w:t>
      </w:r>
      <w:r w:rsidRPr="0054190C">
        <w:rPr>
          <w:rStyle w:val="FootnoteReference"/>
          <w:rFonts w:cs="Arial"/>
          <w:sz w:val="24"/>
          <w:szCs w:val="24"/>
        </w:rPr>
        <w:footnoteReference w:id="25"/>
      </w:r>
      <w:r w:rsidRPr="0054190C">
        <w:rPr>
          <w:rFonts w:cs="Arial"/>
          <w:sz w:val="24"/>
          <w:szCs w:val="24"/>
        </w:rPr>
        <w:t>. The possibility of indefinite detention prompts some lawyers to avoid using this defence</w:t>
      </w:r>
      <w:r>
        <w:rPr>
          <w:rFonts w:cs="Arial"/>
          <w:sz w:val="24"/>
          <w:szCs w:val="24"/>
        </w:rPr>
        <w:t>,</w:t>
      </w:r>
      <w:r w:rsidRPr="0054190C">
        <w:rPr>
          <w:rFonts w:cs="Arial"/>
          <w:sz w:val="24"/>
          <w:szCs w:val="24"/>
        </w:rPr>
        <w:t xml:space="preserve"> instead opting to have their client’s mental illness simply taken into account as a mitigating factor in sentencing.</w:t>
      </w:r>
      <w:r>
        <w:rPr>
          <w:rStyle w:val="FootnoteReference"/>
          <w:rFonts w:cs="Arial"/>
          <w:sz w:val="24"/>
          <w:szCs w:val="24"/>
        </w:rPr>
        <w:footnoteReference w:id="26"/>
      </w:r>
    </w:p>
    <w:p w:rsidR="001C1253" w:rsidRPr="00DA5883" w:rsidRDefault="001C1253" w:rsidP="001C1253">
      <w:pPr>
        <w:pStyle w:val="Heading2"/>
        <w:ind w:firstLine="426"/>
        <w:rPr>
          <w:color w:val="1F497D" w:themeColor="text2"/>
        </w:rPr>
      </w:pPr>
      <w:r w:rsidRPr="00DA5883">
        <w:rPr>
          <w:color w:val="1F497D" w:themeColor="text2"/>
        </w:rPr>
        <w:t>Mental health laws</w:t>
      </w:r>
      <w:r w:rsidRPr="00DA5883">
        <w:rPr>
          <w:rStyle w:val="FootnoteReference"/>
          <w:color w:val="1F497D" w:themeColor="text2"/>
        </w:rPr>
        <w:footnoteReference w:id="27"/>
      </w:r>
    </w:p>
    <w:p w:rsidR="001C1253" w:rsidRPr="0054190C" w:rsidRDefault="001C1253" w:rsidP="001C1253">
      <w:pPr>
        <w:numPr>
          <w:ilvl w:val="0"/>
          <w:numId w:val="35"/>
        </w:numPr>
        <w:tabs>
          <w:tab w:val="left" w:pos="426"/>
          <w:tab w:val="left" w:pos="1848"/>
          <w:tab w:val="left" w:pos="2773"/>
          <w:tab w:val="left" w:pos="3697"/>
          <w:tab w:val="left" w:pos="4621"/>
          <w:tab w:val="left" w:pos="5545"/>
          <w:tab w:val="left" w:pos="6469"/>
          <w:tab w:val="left" w:pos="7394"/>
          <w:tab w:val="left" w:pos="8318"/>
          <w:tab w:val="right" w:pos="8930"/>
        </w:tabs>
        <w:spacing w:before="120" w:after="120"/>
        <w:ind w:left="426" w:hanging="426"/>
        <w:contextualSpacing/>
        <w:jc w:val="both"/>
        <w:rPr>
          <w:rFonts w:cs="Arial"/>
          <w:color w:val="000000"/>
          <w:sz w:val="24"/>
          <w:szCs w:val="24"/>
        </w:rPr>
      </w:pPr>
      <w:r w:rsidRPr="0054190C">
        <w:rPr>
          <w:rFonts w:cs="Arial"/>
          <w:color w:val="000000"/>
          <w:sz w:val="24"/>
          <w:szCs w:val="24"/>
        </w:rPr>
        <w:t>On ratification of the CRPD</w:t>
      </w:r>
      <w:r w:rsidR="0042579B">
        <w:rPr>
          <w:rFonts w:cs="Arial"/>
          <w:color w:val="000000"/>
          <w:sz w:val="24"/>
          <w:szCs w:val="24"/>
        </w:rPr>
        <w:t>,</w:t>
      </w:r>
      <w:r w:rsidRPr="0054190C">
        <w:rPr>
          <w:rFonts w:cs="Arial"/>
          <w:color w:val="000000"/>
          <w:sz w:val="24"/>
          <w:szCs w:val="24"/>
        </w:rPr>
        <w:t xml:space="preserve"> Australia made an Interpretive Declaration stating that it understands Article 17 of the CRPD</w:t>
      </w:r>
      <w:r w:rsidR="0042579B">
        <w:rPr>
          <w:rFonts w:cs="Arial"/>
          <w:color w:val="000000"/>
          <w:sz w:val="24"/>
          <w:szCs w:val="24"/>
        </w:rPr>
        <w:t>,</w:t>
      </w:r>
      <w:r w:rsidRPr="0054190C">
        <w:rPr>
          <w:rFonts w:cs="Arial"/>
          <w:color w:val="000000"/>
          <w:sz w:val="24"/>
          <w:szCs w:val="24"/>
        </w:rPr>
        <w:t xml:space="preserve"> </w:t>
      </w:r>
      <w:r w:rsidR="0042579B">
        <w:rPr>
          <w:rFonts w:cs="Arial"/>
          <w:color w:val="000000"/>
          <w:sz w:val="24"/>
          <w:szCs w:val="24"/>
        </w:rPr>
        <w:t xml:space="preserve">Protecting the </w:t>
      </w:r>
      <w:r w:rsidRPr="0054190C">
        <w:rPr>
          <w:rFonts w:cs="Arial"/>
          <w:color w:val="000000"/>
          <w:sz w:val="24"/>
          <w:szCs w:val="24"/>
        </w:rPr>
        <w:t>Integrity</w:t>
      </w:r>
      <w:r w:rsidR="0042579B">
        <w:rPr>
          <w:rFonts w:cs="Arial"/>
          <w:color w:val="000000"/>
          <w:sz w:val="24"/>
          <w:szCs w:val="24"/>
        </w:rPr>
        <w:t xml:space="preserve"> of the person</w:t>
      </w:r>
      <w:r w:rsidRPr="0054190C">
        <w:rPr>
          <w:rFonts w:cs="Arial"/>
          <w:color w:val="000000"/>
          <w:sz w:val="24"/>
          <w:szCs w:val="24"/>
        </w:rPr>
        <w:t>, to allow for compulsory assistance or treatment of persons, including measures taken for the treatment of psychosocial disability, where such treatment is necessary, as a last resort and subject to safeguards.</w:t>
      </w:r>
      <w:r w:rsidRPr="0054190C">
        <w:rPr>
          <w:rFonts w:cs="Arial"/>
          <w:color w:val="000000"/>
          <w:sz w:val="24"/>
          <w:szCs w:val="24"/>
          <w:vertAlign w:val="superscript"/>
        </w:rPr>
        <w:footnoteReference w:id="28"/>
      </w:r>
      <w:r w:rsidRPr="0054190C">
        <w:rPr>
          <w:rFonts w:cs="Arial"/>
          <w:color w:val="000000"/>
          <w:sz w:val="24"/>
          <w:szCs w:val="24"/>
        </w:rPr>
        <w:t xml:space="preserve">  The declaration is largely directed to state and territory frameworks that underpin the mental health system in Australia, and clarifies that Australia believes the existing legislative, policy and practice frameworks governing compulsory assistance or treatment </w:t>
      </w:r>
      <w:r w:rsidR="0042579B">
        <w:rPr>
          <w:rFonts w:cs="Arial"/>
          <w:color w:val="000000"/>
          <w:sz w:val="24"/>
          <w:szCs w:val="24"/>
        </w:rPr>
        <w:t xml:space="preserve">of </w:t>
      </w:r>
      <w:r w:rsidRPr="0054190C">
        <w:rPr>
          <w:rFonts w:cs="Arial"/>
          <w:color w:val="000000"/>
          <w:sz w:val="24"/>
          <w:szCs w:val="24"/>
        </w:rPr>
        <w:t xml:space="preserve">mental </w:t>
      </w:r>
      <w:r w:rsidR="0042579B">
        <w:rPr>
          <w:rFonts w:cs="Arial"/>
          <w:color w:val="000000"/>
          <w:sz w:val="24"/>
          <w:szCs w:val="24"/>
        </w:rPr>
        <w:t>ill-</w:t>
      </w:r>
      <w:r w:rsidRPr="0054190C">
        <w:rPr>
          <w:rFonts w:cs="Arial"/>
          <w:color w:val="000000"/>
          <w:sz w:val="24"/>
          <w:szCs w:val="24"/>
        </w:rPr>
        <w:t xml:space="preserve">health should be maintained. </w:t>
      </w:r>
    </w:p>
    <w:p w:rsidR="001C1253" w:rsidRPr="0054190C" w:rsidRDefault="001C1253" w:rsidP="001C1253">
      <w:pPr>
        <w:tabs>
          <w:tab w:val="left" w:pos="426"/>
          <w:tab w:val="left" w:pos="1848"/>
          <w:tab w:val="left" w:pos="2773"/>
          <w:tab w:val="left" w:pos="3697"/>
          <w:tab w:val="left" w:pos="4621"/>
          <w:tab w:val="left" w:pos="5545"/>
          <w:tab w:val="left" w:pos="6469"/>
          <w:tab w:val="left" w:pos="7394"/>
          <w:tab w:val="left" w:pos="8318"/>
          <w:tab w:val="right" w:pos="8930"/>
        </w:tabs>
        <w:spacing w:before="120" w:after="120"/>
        <w:ind w:left="426"/>
        <w:contextualSpacing/>
        <w:jc w:val="both"/>
        <w:rPr>
          <w:rFonts w:cs="Arial"/>
          <w:color w:val="000000"/>
          <w:sz w:val="24"/>
          <w:szCs w:val="24"/>
        </w:rPr>
      </w:pPr>
    </w:p>
    <w:p w:rsidR="001C1253" w:rsidRPr="0054190C" w:rsidRDefault="001C1253" w:rsidP="001C1253">
      <w:pPr>
        <w:numPr>
          <w:ilvl w:val="0"/>
          <w:numId w:val="35"/>
        </w:numPr>
        <w:tabs>
          <w:tab w:val="left" w:pos="426"/>
          <w:tab w:val="left" w:pos="1848"/>
          <w:tab w:val="left" w:pos="2773"/>
          <w:tab w:val="left" w:pos="3697"/>
          <w:tab w:val="left" w:pos="4621"/>
          <w:tab w:val="left" w:pos="5545"/>
          <w:tab w:val="left" w:pos="6469"/>
          <w:tab w:val="left" w:pos="7394"/>
          <w:tab w:val="left" w:pos="8318"/>
          <w:tab w:val="right" w:pos="8930"/>
        </w:tabs>
        <w:spacing w:before="120" w:after="120"/>
        <w:ind w:left="426" w:hanging="426"/>
        <w:contextualSpacing/>
        <w:jc w:val="both"/>
        <w:rPr>
          <w:rFonts w:cs="Arial"/>
          <w:color w:val="000000"/>
          <w:sz w:val="24"/>
          <w:szCs w:val="24"/>
        </w:rPr>
      </w:pPr>
      <w:r w:rsidRPr="0054190C">
        <w:rPr>
          <w:rFonts w:cs="Arial"/>
          <w:color w:val="000000"/>
          <w:sz w:val="24"/>
          <w:szCs w:val="24"/>
        </w:rPr>
        <w:t xml:space="preserve">Laws, policy and practice for involuntary </w:t>
      </w:r>
      <w:r>
        <w:rPr>
          <w:rFonts w:cs="Arial"/>
          <w:color w:val="000000"/>
          <w:sz w:val="24"/>
          <w:szCs w:val="24"/>
        </w:rPr>
        <w:t xml:space="preserve">detention and </w:t>
      </w:r>
      <w:r w:rsidRPr="0054190C">
        <w:rPr>
          <w:rFonts w:cs="Arial"/>
          <w:color w:val="000000"/>
          <w:sz w:val="24"/>
          <w:szCs w:val="24"/>
        </w:rPr>
        <w:t xml:space="preserve">treatment of people with psychosocial disability purport to ‘protect’ people who may be of harm to themselves or others by providing compulsory treatment in the community or in mental health facilities. Despite the significant limitations placed on a person’s autonomy and equal recognition before the law, there is no consistency across state and territory mental health laws in assessing, or </w:t>
      </w:r>
      <w:r w:rsidRPr="0054190C">
        <w:rPr>
          <w:rFonts w:cs="Arial"/>
          <w:color w:val="000000"/>
          <w:sz w:val="24"/>
          <w:szCs w:val="24"/>
        </w:rPr>
        <w:lastRenderedPageBreak/>
        <w:t xml:space="preserve">determining ‘risk of harm to self or others’; or assessing a person’s ability or support needs to provide full and informed consent. </w:t>
      </w:r>
    </w:p>
    <w:p w:rsidR="001C1253" w:rsidRPr="0054190C" w:rsidRDefault="001C1253" w:rsidP="001C1253">
      <w:pPr>
        <w:tabs>
          <w:tab w:val="left" w:pos="426"/>
          <w:tab w:val="left" w:pos="1848"/>
          <w:tab w:val="left" w:pos="2773"/>
          <w:tab w:val="left" w:pos="3697"/>
          <w:tab w:val="left" w:pos="4621"/>
          <w:tab w:val="left" w:pos="5545"/>
          <w:tab w:val="left" w:pos="6469"/>
          <w:tab w:val="left" w:pos="7394"/>
          <w:tab w:val="left" w:pos="8318"/>
          <w:tab w:val="right" w:pos="8930"/>
        </w:tabs>
        <w:spacing w:before="120" w:after="120"/>
        <w:contextualSpacing/>
        <w:jc w:val="both"/>
        <w:rPr>
          <w:rFonts w:cs="Arial"/>
          <w:color w:val="000000"/>
          <w:sz w:val="24"/>
          <w:szCs w:val="24"/>
        </w:rPr>
      </w:pPr>
    </w:p>
    <w:p w:rsidR="001C1253" w:rsidRPr="0054190C" w:rsidRDefault="001C1253" w:rsidP="001C1253">
      <w:pPr>
        <w:numPr>
          <w:ilvl w:val="0"/>
          <w:numId w:val="35"/>
        </w:numPr>
        <w:tabs>
          <w:tab w:val="left" w:pos="426"/>
          <w:tab w:val="left" w:pos="1848"/>
          <w:tab w:val="left" w:pos="2773"/>
          <w:tab w:val="left" w:pos="3697"/>
          <w:tab w:val="left" w:pos="4621"/>
          <w:tab w:val="left" w:pos="5545"/>
          <w:tab w:val="left" w:pos="6469"/>
          <w:tab w:val="left" w:pos="7394"/>
          <w:tab w:val="left" w:pos="8318"/>
          <w:tab w:val="right" w:pos="8930"/>
        </w:tabs>
        <w:spacing w:before="120" w:after="120"/>
        <w:ind w:left="426" w:hanging="426"/>
        <w:contextualSpacing/>
        <w:jc w:val="both"/>
        <w:rPr>
          <w:rFonts w:cs="Arial"/>
          <w:color w:val="000000"/>
          <w:sz w:val="24"/>
          <w:szCs w:val="24"/>
        </w:rPr>
      </w:pPr>
      <w:r w:rsidRPr="0054190C">
        <w:rPr>
          <w:rFonts w:cs="Arial"/>
          <w:color w:val="000000"/>
          <w:sz w:val="24"/>
          <w:szCs w:val="24"/>
        </w:rPr>
        <w:t xml:space="preserve">As a result, many people with psychosocial disability and cognitive impairment experience serious breaches of their human rights and widespread abuse, neglect and exploitation within the current legislative, policy and practice framework that purports to ‘protect’ them. Instead of addressing mental health laws as an inherent breach of human rights, states and territories have focused on reviewing and amending mental health legislation in an effort to increase compliance with human rights. </w:t>
      </w:r>
    </w:p>
    <w:p w:rsidR="001C1253" w:rsidRPr="0054190C" w:rsidRDefault="001C1253" w:rsidP="001C1253">
      <w:pPr>
        <w:tabs>
          <w:tab w:val="left" w:pos="426"/>
          <w:tab w:val="left" w:pos="1848"/>
          <w:tab w:val="left" w:pos="2773"/>
          <w:tab w:val="left" w:pos="3697"/>
          <w:tab w:val="left" w:pos="4621"/>
          <w:tab w:val="left" w:pos="5545"/>
          <w:tab w:val="left" w:pos="6469"/>
          <w:tab w:val="left" w:pos="7394"/>
          <w:tab w:val="left" w:pos="8318"/>
          <w:tab w:val="right" w:pos="8930"/>
        </w:tabs>
        <w:spacing w:before="120" w:after="120"/>
        <w:contextualSpacing/>
        <w:jc w:val="both"/>
        <w:rPr>
          <w:rFonts w:cs="Arial"/>
          <w:color w:val="000000"/>
          <w:sz w:val="24"/>
          <w:szCs w:val="24"/>
        </w:rPr>
      </w:pPr>
    </w:p>
    <w:p w:rsidR="001C1253" w:rsidRPr="0054190C" w:rsidRDefault="001C1253" w:rsidP="001C1253">
      <w:pPr>
        <w:numPr>
          <w:ilvl w:val="0"/>
          <w:numId w:val="35"/>
        </w:numPr>
        <w:tabs>
          <w:tab w:val="left" w:pos="426"/>
          <w:tab w:val="left" w:pos="1848"/>
          <w:tab w:val="left" w:pos="2773"/>
          <w:tab w:val="left" w:pos="3697"/>
          <w:tab w:val="left" w:pos="4621"/>
          <w:tab w:val="left" w:pos="5545"/>
          <w:tab w:val="left" w:pos="6469"/>
          <w:tab w:val="left" w:pos="7394"/>
          <w:tab w:val="left" w:pos="8318"/>
          <w:tab w:val="right" w:pos="8930"/>
        </w:tabs>
        <w:spacing w:before="120" w:after="120"/>
        <w:ind w:left="426" w:hanging="426"/>
        <w:contextualSpacing/>
        <w:jc w:val="both"/>
        <w:rPr>
          <w:rFonts w:cs="Arial"/>
          <w:color w:val="000000"/>
          <w:sz w:val="24"/>
          <w:szCs w:val="24"/>
        </w:rPr>
      </w:pPr>
      <w:r w:rsidRPr="0054190C">
        <w:rPr>
          <w:rFonts w:cs="Arial"/>
          <w:color w:val="000000"/>
          <w:sz w:val="24"/>
          <w:szCs w:val="24"/>
        </w:rPr>
        <w:t>Since ratification of CRPD, a number of people with disability, their representative organisations, disability advocacy and legal groups in Australia have questioned the validity of separate mental health legislation, given this legislation prescribes limitations to human rights on the basis of disability,</w:t>
      </w:r>
      <w:r w:rsidRPr="0054190C">
        <w:rPr>
          <w:rFonts w:cs="Arial"/>
          <w:color w:val="000000"/>
          <w:sz w:val="24"/>
          <w:szCs w:val="24"/>
          <w:vertAlign w:val="superscript"/>
        </w:rPr>
        <w:footnoteReference w:id="29"/>
      </w:r>
      <w:r w:rsidRPr="0054190C">
        <w:rPr>
          <w:rFonts w:cs="Arial"/>
          <w:color w:val="000000"/>
          <w:sz w:val="24"/>
          <w:szCs w:val="24"/>
        </w:rPr>
        <w:t xml:space="preserve"> and is not legislation that limits human rights for everyone in the community in relation to risk of harm to self and others and the need for compulsory treatment and detention. </w:t>
      </w:r>
    </w:p>
    <w:p w:rsidR="001C1253" w:rsidRPr="0054190C" w:rsidRDefault="001C1253" w:rsidP="001C1253">
      <w:pPr>
        <w:tabs>
          <w:tab w:val="left" w:pos="426"/>
          <w:tab w:val="left" w:pos="1848"/>
          <w:tab w:val="left" w:pos="2773"/>
          <w:tab w:val="left" w:pos="3697"/>
          <w:tab w:val="left" w:pos="4621"/>
          <w:tab w:val="left" w:pos="5545"/>
          <w:tab w:val="left" w:pos="6469"/>
          <w:tab w:val="left" w:pos="7394"/>
          <w:tab w:val="left" w:pos="8318"/>
          <w:tab w:val="right" w:pos="8930"/>
        </w:tabs>
        <w:spacing w:before="120" w:after="120"/>
        <w:contextualSpacing/>
        <w:jc w:val="both"/>
        <w:rPr>
          <w:rFonts w:cs="Arial"/>
          <w:color w:val="000000"/>
          <w:sz w:val="24"/>
          <w:szCs w:val="24"/>
        </w:rPr>
      </w:pPr>
    </w:p>
    <w:p w:rsidR="001C1253" w:rsidRPr="0054190C" w:rsidRDefault="001C1253" w:rsidP="001C1253">
      <w:pPr>
        <w:numPr>
          <w:ilvl w:val="0"/>
          <w:numId w:val="35"/>
        </w:numPr>
        <w:tabs>
          <w:tab w:val="left" w:pos="426"/>
          <w:tab w:val="left" w:pos="1848"/>
          <w:tab w:val="left" w:pos="2773"/>
          <w:tab w:val="left" w:pos="3697"/>
          <w:tab w:val="left" w:pos="4621"/>
          <w:tab w:val="left" w:pos="5545"/>
          <w:tab w:val="left" w:pos="6469"/>
          <w:tab w:val="left" w:pos="7394"/>
          <w:tab w:val="left" w:pos="8318"/>
          <w:tab w:val="right" w:pos="8930"/>
        </w:tabs>
        <w:spacing w:before="120" w:after="120"/>
        <w:ind w:left="426" w:hanging="426"/>
        <w:contextualSpacing/>
        <w:jc w:val="both"/>
        <w:rPr>
          <w:rFonts w:cs="Arial"/>
          <w:color w:val="000000"/>
          <w:sz w:val="24"/>
          <w:szCs w:val="24"/>
        </w:rPr>
      </w:pPr>
      <w:r w:rsidRPr="0054190C">
        <w:rPr>
          <w:rFonts w:cs="Arial"/>
          <w:color w:val="000000"/>
          <w:sz w:val="24"/>
          <w:szCs w:val="24"/>
        </w:rPr>
        <w:t>The Special Rapporteur on Torture</w:t>
      </w:r>
      <w:r w:rsidR="00DA5883">
        <w:rPr>
          <w:rFonts w:cs="Arial"/>
          <w:color w:val="000000"/>
          <w:sz w:val="24"/>
          <w:szCs w:val="24"/>
        </w:rPr>
        <w:t>,</w:t>
      </w:r>
      <w:r w:rsidRPr="0054190C">
        <w:rPr>
          <w:rFonts w:cs="Arial"/>
          <w:color w:val="000000"/>
          <w:sz w:val="24"/>
          <w:szCs w:val="24"/>
        </w:rPr>
        <w:t xml:space="preserve"> Manfred Nowak has noted with respect to involuntary commitment to psychiatric institutions that “Article 14 of CRPD prohibits … the existence of a disability as a justification for deprivation of liberty”,</w:t>
      </w:r>
      <w:r w:rsidRPr="0054190C">
        <w:rPr>
          <w:rFonts w:cs="Arial"/>
          <w:color w:val="000000"/>
          <w:sz w:val="24"/>
          <w:szCs w:val="24"/>
          <w:vertAlign w:val="superscript"/>
        </w:rPr>
        <w:footnoteReference w:id="30"/>
      </w:r>
      <w:r w:rsidRPr="0054190C">
        <w:rPr>
          <w:rFonts w:cs="Arial"/>
          <w:color w:val="000000"/>
          <w:sz w:val="24"/>
          <w:szCs w:val="24"/>
        </w:rPr>
        <w:t xml:space="preserve"> and the subsequent Special Rapporteur on Torture has said that ‘’provisions allowing confinement or compulsory treatment in menta</w:t>
      </w:r>
      <w:r w:rsidR="00DA5883">
        <w:rPr>
          <w:rFonts w:cs="Arial"/>
          <w:color w:val="000000"/>
          <w:sz w:val="24"/>
          <w:szCs w:val="24"/>
        </w:rPr>
        <w:t>l health settings, including th</w:t>
      </w:r>
      <w:r w:rsidRPr="0054190C">
        <w:rPr>
          <w:rFonts w:cs="Arial"/>
          <w:color w:val="000000"/>
          <w:sz w:val="24"/>
          <w:szCs w:val="24"/>
        </w:rPr>
        <w:t>rough guardianship and other substituted decision-making, must be repealed.’’</w:t>
      </w:r>
      <w:r w:rsidRPr="0054190C">
        <w:rPr>
          <w:rFonts w:cs="Arial"/>
          <w:color w:val="000000"/>
          <w:sz w:val="24"/>
          <w:szCs w:val="24"/>
          <w:vertAlign w:val="superscript"/>
        </w:rPr>
        <w:footnoteReference w:id="31"/>
      </w:r>
    </w:p>
    <w:p w:rsidR="001C1253" w:rsidRPr="0054190C" w:rsidRDefault="001C1253" w:rsidP="001C1253">
      <w:pPr>
        <w:tabs>
          <w:tab w:val="left" w:pos="426"/>
          <w:tab w:val="left" w:pos="1848"/>
          <w:tab w:val="left" w:pos="2773"/>
          <w:tab w:val="left" w:pos="3697"/>
          <w:tab w:val="left" w:pos="4621"/>
          <w:tab w:val="left" w:pos="5545"/>
          <w:tab w:val="left" w:pos="6469"/>
          <w:tab w:val="left" w:pos="7394"/>
          <w:tab w:val="left" w:pos="8318"/>
          <w:tab w:val="right" w:pos="8930"/>
        </w:tabs>
        <w:spacing w:before="120" w:after="120"/>
        <w:contextualSpacing/>
        <w:jc w:val="both"/>
        <w:rPr>
          <w:rFonts w:cs="Arial"/>
          <w:color w:val="000000"/>
          <w:sz w:val="24"/>
          <w:szCs w:val="24"/>
        </w:rPr>
      </w:pPr>
    </w:p>
    <w:p w:rsidR="001C1253" w:rsidRDefault="001C1253" w:rsidP="00082CC2">
      <w:pPr>
        <w:numPr>
          <w:ilvl w:val="0"/>
          <w:numId w:val="35"/>
        </w:numPr>
        <w:tabs>
          <w:tab w:val="left" w:pos="426"/>
          <w:tab w:val="left" w:pos="1848"/>
          <w:tab w:val="left" w:pos="2773"/>
          <w:tab w:val="left" w:pos="3697"/>
          <w:tab w:val="left" w:pos="4621"/>
          <w:tab w:val="left" w:pos="5545"/>
          <w:tab w:val="left" w:pos="6469"/>
          <w:tab w:val="left" w:pos="7394"/>
          <w:tab w:val="left" w:pos="8318"/>
          <w:tab w:val="right" w:pos="8930"/>
        </w:tabs>
        <w:spacing w:before="120" w:after="160"/>
        <w:ind w:left="425" w:hanging="425"/>
        <w:jc w:val="both"/>
        <w:rPr>
          <w:rFonts w:cs="Arial"/>
          <w:sz w:val="24"/>
          <w:szCs w:val="24"/>
        </w:rPr>
      </w:pPr>
      <w:r w:rsidRPr="0054190C">
        <w:rPr>
          <w:rFonts w:cs="Arial"/>
          <w:sz w:val="24"/>
          <w:szCs w:val="24"/>
        </w:rPr>
        <w:t xml:space="preserve">Similar to the situation for people found not guilty due to mental impairment, people under involuntary treatment orders can reside in secure accommodation with no release date, or with </w:t>
      </w:r>
      <w:r w:rsidRPr="0054190C">
        <w:rPr>
          <w:rFonts w:cs="Arial"/>
          <w:color w:val="000000"/>
          <w:sz w:val="24"/>
          <w:szCs w:val="24"/>
        </w:rPr>
        <w:t>the</w:t>
      </w:r>
      <w:r w:rsidRPr="0054190C">
        <w:rPr>
          <w:rFonts w:cs="Arial"/>
          <w:sz w:val="24"/>
          <w:szCs w:val="24"/>
        </w:rPr>
        <w:t xml:space="preserve"> possibility that their treatment order will be </w:t>
      </w:r>
      <w:r w:rsidR="00DA5883">
        <w:rPr>
          <w:rFonts w:cs="Arial"/>
          <w:sz w:val="24"/>
          <w:szCs w:val="24"/>
        </w:rPr>
        <w:t xml:space="preserve">continually </w:t>
      </w:r>
      <w:r w:rsidRPr="0054190C">
        <w:rPr>
          <w:rFonts w:cs="Arial"/>
          <w:sz w:val="24"/>
          <w:szCs w:val="24"/>
        </w:rPr>
        <w:t xml:space="preserve">extended prior to </w:t>
      </w:r>
      <w:r>
        <w:rPr>
          <w:rFonts w:cs="Arial"/>
          <w:sz w:val="24"/>
          <w:szCs w:val="24"/>
        </w:rPr>
        <w:t>expiry.</w:t>
      </w:r>
    </w:p>
    <w:p w:rsidR="001C1253" w:rsidRPr="0054190C" w:rsidRDefault="00155F24" w:rsidP="005B3F09">
      <w:pPr>
        <w:tabs>
          <w:tab w:val="left" w:pos="426"/>
          <w:tab w:val="left" w:pos="1848"/>
          <w:tab w:val="left" w:pos="2773"/>
          <w:tab w:val="left" w:pos="3697"/>
          <w:tab w:val="left" w:pos="4621"/>
          <w:tab w:val="left" w:pos="5545"/>
          <w:tab w:val="left" w:pos="6469"/>
          <w:tab w:val="left" w:pos="7394"/>
          <w:tab w:val="left" w:pos="8318"/>
          <w:tab w:val="right" w:pos="8930"/>
        </w:tabs>
        <w:spacing w:before="120" w:after="120"/>
        <w:ind w:left="426"/>
        <w:contextualSpacing/>
        <w:jc w:val="both"/>
        <w:rPr>
          <w:rFonts w:cs="Arial"/>
          <w:sz w:val="24"/>
          <w:szCs w:val="24"/>
        </w:rPr>
      </w:pPr>
      <w:r w:rsidRPr="00A25E3B">
        <w:rPr>
          <w:b/>
          <w:i/>
          <w:sz w:val="24"/>
          <w:szCs w:val="24"/>
          <w:lang w:val="en-US"/>
        </w:rPr>
        <w:t xml:space="preserve">Case Study: </w:t>
      </w:r>
      <w:proofErr w:type="spellStart"/>
      <w:r w:rsidRPr="00A25E3B">
        <w:rPr>
          <w:b/>
          <w:i/>
          <w:sz w:val="24"/>
          <w:szCs w:val="24"/>
          <w:lang w:val="en-US"/>
        </w:rPr>
        <w:t>M</w:t>
      </w:r>
      <w:r>
        <w:rPr>
          <w:b/>
          <w:i/>
          <w:sz w:val="24"/>
          <w:szCs w:val="24"/>
          <w:lang w:val="en-US"/>
        </w:rPr>
        <w:t>s</w:t>
      </w:r>
      <w:proofErr w:type="spellEnd"/>
      <w:r>
        <w:rPr>
          <w:b/>
          <w:i/>
          <w:sz w:val="24"/>
          <w:szCs w:val="24"/>
          <w:lang w:val="en-US"/>
        </w:rPr>
        <w:t xml:space="preserve"> A</w:t>
      </w:r>
      <w:r w:rsidR="005B3F09">
        <w:rPr>
          <w:b/>
          <w:i/>
          <w:sz w:val="24"/>
          <w:szCs w:val="24"/>
          <w:lang w:val="en-US"/>
        </w:rPr>
        <w:t>.</w:t>
      </w:r>
      <w:r>
        <w:rPr>
          <w:b/>
          <w:i/>
          <w:sz w:val="24"/>
          <w:szCs w:val="24"/>
          <w:lang w:val="en-US"/>
        </w:rPr>
        <w:t xml:space="preserve"> </w:t>
      </w:r>
      <w:r w:rsidR="005B3F09">
        <w:rPr>
          <w:b/>
          <w:i/>
          <w:sz w:val="24"/>
          <w:szCs w:val="24"/>
          <w:lang w:val="en-US"/>
        </w:rPr>
        <w:t xml:space="preserve">was homeless when she was placed under an involuntary treatment order in 2010.  Despite reviews of her involuntary treatment order, it was deemed to be in her ‘best interests’ to </w:t>
      </w:r>
      <w:r w:rsidR="00F3765A">
        <w:rPr>
          <w:b/>
          <w:i/>
          <w:sz w:val="24"/>
          <w:szCs w:val="24"/>
          <w:lang w:val="en-US"/>
        </w:rPr>
        <w:t xml:space="preserve">continually </w:t>
      </w:r>
      <w:r w:rsidR="005B3F09">
        <w:rPr>
          <w:b/>
          <w:i/>
          <w:sz w:val="24"/>
          <w:szCs w:val="24"/>
          <w:lang w:val="en-US"/>
        </w:rPr>
        <w:t xml:space="preserve">detain </w:t>
      </w:r>
      <w:proofErr w:type="spellStart"/>
      <w:r w:rsidR="005B3F09">
        <w:rPr>
          <w:b/>
          <w:i/>
          <w:sz w:val="24"/>
          <w:szCs w:val="24"/>
          <w:lang w:val="en-US"/>
        </w:rPr>
        <w:t>Ms</w:t>
      </w:r>
      <w:proofErr w:type="spellEnd"/>
      <w:r w:rsidR="005B3F09">
        <w:rPr>
          <w:b/>
          <w:i/>
          <w:sz w:val="24"/>
          <w:szCs w:val="24"/>
          <w:lang w:val="en-US"/>
        </w:rPr>
        <w:t xml:space="preserve"> A. in a psychiatric unit as she was considered to be a risk to herself</w:t>
      </w:r>
      <w:r w:rsidR="00F3765A">
        <w:rPr>
          <w:b/>
          <w:i/>
          <w:sz w:val="24"/>
          <w:szCs w:val="24"/>
          <w:lang w:val="en-US"/>
        </w:rPr>
        <w:t>,</w:t>
      </w:r>
      <w:r w:rsidR="005B3F09">
        <w:rPr>
          <w:b/>
          <w:i/>
          <w:sz w:val="24"/>
          <w:szCs w:val="24"/>
          <w:lang w:val="en-US"/>
        </w:rPr>
        <w:t xml:space="preserve"> and there </w:t>
      </w:r>
      <w:r w:rsidR="007B67C4">
        <w:rPr>
          <w:b/>
          <w:i/>
          <w:sz w:val="24"/>
          <w:szCs w:val="24"/>
          <w:lang w:val="en-US"/>
        </w:rPr>
        <w:t xml:space="preserve">was a view that there </w:t>
      </w:r>
      <w:r w:rsidR="005B3F09">
        <w:rPr>
          <w:b/>
          <w:i/>
          <w:sz w:val="24"/>
          <w:szCs w:val="24"/>
          <w:lang w:val="en-US"/>
        </w:rPr>
        <w:t xml:space="preserve">were no community mental health supports that could be tailored to her specific needs. </w:t>
      </w:r>
      <w:r w:rsidR="00B11871">
        <w:rPr>
          <w:b/>
          <w:i/>
          <w:sz w:val="24"/>
          <w:szCs w:val="24"/>
          <w:lang w:val="en-US"/>
        </w:rPr>
        <w:t xml:space="preserve"> This </w:t>
      </w:r>
      <w:r w:rsidR="005B3F09">
        <w:rPr>
          <w:b/>
          <w:i/>
          <w:sz w:val="24"/>
          <w:szCs w:val="24"/>
          <w:lang w:val="en-US"/>
        </w:rPr>
        <w:t xml:space="preserve">detention lasted for six years, </w:t>
      </w:r>
      <w:r w:rsidR="00F3765A">
        <w:rPr>
          <w:b/>
          <w:i/>
          <w:sz w:val="24"/>
          <w:szCs w:val="24"/>
          <w:lang w:val="en-US"/>
        </w:rPr>
        <w:t xml:space="preserve">until </w:t>
      </w:r>
      <w:r w:rsidR="00F3765A">
        <w:rPr>
          <w:b/>
          <w:i/>
          <w:sz w:val="24"/>
          <w:szCs w:val="24"/>
          <w:lang w:val="en-US"/>
        </w:rPr>
        <w:lastRenderedPageBreak/>
        <w:t>advocacy support successfully negotiate</w:t>
      </w:r>
      <w:r w:rsidR="007B67C4">
        <w:rPr>
          <w:b/>
          <w:i/>
          <w:sz w:val="24"/>
          <w:szCs w:val="24"/>
          <w:lang w:val="en-US"/>
        </w:rPr>
        <w:t>d</w:t>
      </w:r>
      <w:r w:rsidR="00F3765A">
        <w:rPr>
          <w:b/>
          <w:i/>
          <w:sz w:val="24"/>
          <w:szCs w:val="24"/>
          <w:lang w:val="en-US"/>
        </w:rPr>
        <w:t xml:space="preserve"> her release to appropriate community accommodation and support</w:t>
      </w:r>
      <w:r w:rsidR="00F3765A">
        <w:rPr>
          <w:rStyle w:val="FootnoteReference"/>
          <w:b/>
          <w:i/>
          <w:sz w:val="24"/>
          <w:szCs w:val="24"/>
          <w:lang w:val="en-US"/>
        </w:rPr>
        <w:footnoteReference w:id="32"/>
      </w:r>
      <w:r w:rsidR="005B3F09">
        <w:rPr>
          <w:b/>
          <w:i/>
          <w:sz w:val="24"/>
          <w:szCs w:val="24"/>
          <w:lang w:val="en-US"/>
        </w:rPr>
        <w:t xml:space="preserve">. </w:t>
      </w:r>
    </w:p>
    <w:p w:rsidR="001C1253" w:rsidRPr="00566387" w:rsidRDefault="001C1253" w:rsidP="00F3765A">
      <w:pPr>
        <w:pStyle w:val="Heading2"/>
        <w:ind w:left="426"/>
        <w:rPr>
          <w:color w:val="1F497D" w:themeColor="text2"/>
        </w:rPr>
      </w:pPr>
      <w:r w:rsidRPr="00566387">
        <w:rPr>
          <w:color w:val="1F497D" w:themeColor="text2"/>
        </w:rPr>
        <w:t>Immigration detention</w:t>
      </w:r>
      <w:r w:rsidRPr="00566387">
        <w:rPr>
          <w:rStyle w:val="FootnoteReference"/>
          <w:color w:val="1F497D" w:themeColor="text2"/>
        </w:rPr>
        <w:footnoteReference w:id="33"/>
      </w:r>
      <w:r w:rsidRPr="00566387">
        <w:rPr>
          <w:color w:val="1F497D" w:themeColor="text2"/>
        </w:rPr>
        <w:t xml:space="preserve"> </w:t>
      </w:r>
    </w:p>
    <w:p w:rsidR="001C1253" w:rsidRPr="0054190C" w:rsidRDefault="001C1253" w:rsidP="00A10736">
      <w:pPr>
        <w:pStyle w:val="ListParagraph"/>
        <w:numPr>
          <w:ilvl w:val="0"/>
          <w:numId w:val="35"/>
        </w:numPr>
        <w:tabs>
          <w:tab w:val="left" w:pos="426"/>
          <w:tab w:val="left" w:pos="1848"/>
          <w:tab w:val="left" w:pos="2773"/>
          <w:tab w:val="left" w:pos="3697"/>
          <w:tab w:val="left" w:pos="4621"/>
          <w:tab w:val="left" w:pos="5545"/>
          <w:tab w:val="left" w:pos="6469"/>
          <w:tab w:val="left" w:pos="7394"/>
          <w:tab w:val="left" w:pos="8318"/>
          <w:tab w:val="right" w:pos="8930"/>
        </w:tabs>
        <w:spacing w:before="120" w:after="120" w:line="259" w:lineRule="auto"/>
        <w:ind w:left="426" w:hanging="426"/>
        <w:rPr>
          <w:rFonts w:cs="Arial"/>
          <w:color w:val="000000"/>
          <w:sz w:val="24"/>
          <w:szCs w:val="24"/>
        </w:rPr>
      </w:pPr>
      <w:r w:rsidRPr="0054190C">
        <w:rPr>
          <w:rFonts w:cs="Arial"/>
          <w:color w:val="000000"/>
          <w:sz w:val="24"/>
          <w:szCs w:val="24"/>
        </w:rPr>
        <w:t>Australia’s policy of indefinite mandatory detention of asylum seekers has been the subject of substantial condemnation from human rights treaty bodies and other UN experts.</w:t>
      </w:r>
      <w:r w:rsidRPr="0054190C">
        <w:rPr>
          <w:rStyle w:val="FootnoteReference"/>
          <w:rFonts w:cs="Arial"/>
          <w:color w:val="000000"/>
          <w:sz w:val="24"/>
          <w:szCs w:val="24"/>
        </w:rPr>
        <w:footnoteReference w:id="34"/>
      </w:r>
      <w:r w:rsidRPr="0054190C">
        <w:rPr>
          <w:rFonts w:cs="Arial"/>
          <w:color w:val="000000"/>
          <w:sz w:val="24"/>
          <w:szCs w:val="24"/>
        </w:rPr>
        <w:t xml:space="preserve">  In both its 2008 and 2014 concluding observations, the CAT Committee recommended that Australia abolish its policy of onshore and offshore mandatory immigration detention and advised using detention as a measure of last resort only and setting a reasonable time limit for detention.</w:t>
      </w:r>
      <w:r w:rsidRPr="0054190C">
        <w:rPr>
          <w:rFonts w:cs="Arial"/>
          <w:sz w:val="24"/>
          <w:szCs w:val="24"/>
          <w:vertAlign w:val="superscript"/>
        </w:rPr>
        <w:footnoteReference w:id="35"/>
      </w:r>
      <w:r w:rsidRPr="0054190C">
        <w:rPr>
          <w:rFonts w:cs="Arial"/>
          <w:color w:val="000000"/>
          <w:sz w:val="24"/>
          <w:szCs w:val="24"/>
        </w:rPr>
        <w:t xml:space="preserve"> The Committee also recommended that children no longer be held in immigration detention under any circumstances, and as a matter of priority, ensure that asylum seekers who have been detained are provided with adequate physical and mental health care.</w:t>
      </w:r>
      <w:r w:rsidRPr="0054190C">
        <w:rPr>
          <w:rStyle w:val="FootnoteReference"/>
          <w:rFonts w:cs="Arial"/>
          <w:color w:val="000000"/>
          <w:sz w:val="24"/>
          <w:szCs w:val="24"/>
        </w:rPr>
        <w:footnoteReference w:id="36"/>
      </w:r>
      <w:r w:rsidRPr="0054190C">
        <w:rPr>
          <w:rFonts w:cs="Arial"/>
          <w:color w:val="000000"/>
          <w:sz w:val="24"/>
          <w:szCs w:val="24"/>
        </w:rPr>
        <w:t xml:space="preserve"> Australia has not addressed the Committee’s recommendations.</w:t>
      </w:r>
    </w:p>
    <w:p w:rsidR="001C1253" w:rsidRPr="0054190C" w:rsidRDefault="001C1253" w:rsidP="001C1253">
      <w:pPr>
        <w:pStyle w:val="ListParagraph"/>
        <w:tabs>
          <w:tab w:val="left" w:pos="426"/>
          <w:tab w:val="left" w:pos="1848"/>
          <w:tab w:val="left" w:pos="2773"/>
          <w:tab w:val="left" w:pos="3697"/>
          <w:tab w:val="left" w:pos="4621"/>
          <w:tab w:val="left" w:pos="5545"/>
          <w:tab w:val="left" w:pos="6469"/>
          <w:tab w:val="left" w:pos="7394"/>
          <w:tab w:val="left" w:pos="8318"/>
          <w:tab w:val="right" w:pos="8930"/>
        </w:tabs>
        <w:ind w:left="284"/>
        <w:rPr>
          <w:rFonts w:cs="Arial"/>
          <w:color w:val="000000"/>
          <w:sz w:val="24"/>
          <w:szCs w:val="24"/>
        </w:rPr>
      </w:pPr>
    </w:p>
    <w:p w:rsidR="001C1253" w:rsidRPr="0054190C" w:rsidRDefault="001C1253" w:rsidP="009E0567">
      <w:pPr>
        <w:pStyle w:val="ListParagraph"/>
        <w:numPr>
          <w:ilvl w:val="0"/>
          <w:numId w:val="35"/>
        </w:numPr>
        <w:tabs>
          <w:tab w:val="left" w:pos="426"/>
          <w:tab w:val="left" w:pos="1848"/>
          <w:tab w:val="left" w:pos="2773"/>
          <w:tab w:val="left" w:pos="3697"/>
          <w:tab w:val="left" w:pos="4621"/>
          <w:tab w:val="left" w:pos="5545"/>
          <w:tab w:val="left" w:pos="6469"/>
          <w:tab w:val="left" w:pos="7394"/>
          <w:tab w:val="left" w:pos="8318"/>
          <w:tab w:val="right" w:pos="8930"/>
        </w:tabs>
        <w:spacing w:after="160" w:line="259" w:lineRule="auto"/>
        <w:ind w:left="426" w:hanging="426"/>
        <w:rPr>
          <w:rFonts w:cs="Arial"/>
          <w:color w:val="000000"/>
          <w:sz w:val="24"/>
          <w:szCs w:val="24"/>
        </w:rPr>
      </w:pPr>
      <w:r w:rsidRPr="0054190C">
        <w:rPr>
          <w:rFonts w:cs="Arial"/>
          <w:color w:val="000000"/>
          <w:sz w:val="24"/>
          <w:szCs w:val="24"/>
        </w:rPr>
        <w:t>Specific areas of concern for people with disability include overwhelming evidence of heightened risks of physical and sexual violence, inadequate and inaccessible facilities; lack of access to necessary aids, equipment, medication, health and allied health care; lack of access to diverse language and communication supports and support for families and carers.</w:t>
      </w:r>
      <w:r w:rsidRPr="0054190C">
        <w:rPr>
          <w:rStyle w:val="FootnoteReference"/>
          <w:rFonts w:cs="Arial"/>
          <w:color w:val="000000"/>
          <w:sz w:val="24"/>
          <w:szCs w:val="24"/>
        </w:rPr>
        <w:footnoteReference w:id="37"/>
      </w:r>
      <w:r w:rsidRPr="0054190C">
        <w:rPr>
          <w:rFonts w:cs="Arial"/>
          <w:color w:val="000000"/>
          <w:sz w:val="24"/>
          <w:szCs w:val="24"/>
        </w:rPr>
        <w:t xml:space="preserve"> There is also evidence of the withdrawal of essential medication and equipment, including instances </w:t>
      </w:r>
      <w:r w:rsidRPr="0054190C">
        <w:rPr>
          <w:rFonts w:cs="Arial"/>
          <w:color w:val="000000"/>
          <w:sz w:val="24"/>
          <w:szCs w:val="24"/>
        </w:rPr>
        <w:lastRenderedPageBreak/>
        <w:t>of hearing aids and prosthetic limbs being removed and destroyed,</w:t>
      </w:r>
      <w:r w:rsidRPr="0054190C">
        <w:rPr>
          <w:sz w:val="24"/>
          <w:szCs w:val="24"/>
          <w:vertAlign w:val="superscript"/>
        </w:rPr>
        <w:footnoteReference w:id="38"/>
      </w:r>
      <w:r w:rsidRPr="0054190C">
        <w:rPr>
          <w:rFonts w:cs="Arial"/>
          <w:color w:val="000000"/>
          <w:sz w:val="24"/>
          <w:szCs w:val="24"/>
        </w:rPr>
        <w:t xml:space="preserve"> the use of solitary confinement</w:t>
      </w:r>
      <w:r w:rsidRPr="0054190C">
        <w:rPr>
          <w:sz w:val="24"/>
          <w:szCs w:val="24"/>
          <w:vertAlign w:val="superscript"/>
        </w:rPr>
        <w:footnoteReference w:id="39"/>
      </w:r>
      <w:r w:rsidRPr="0054190C">
        <w:rPr>
          <w:rFonts w:cs="Arial"/>
          <w:color w:val="000000"/>
          <w:sz w:val="24"/>
          <w:szCs w:val="24"/>
        </w:rPr>
        <w:t xml:space="preserve"> and the separation of people with disability from their primary carers, including spouses.</w:t>
      </w:r>
      <w:r w:rsidRPr="0054190C">
        <w:rPr>
          <w:rStyle w:val="FootnoteReference"/>
          <w:rFonts w:cs="Arial"/>
          <w:color w:val="000000"/>
          <w:sz w:val="24"/>
          <w:szCs w:val="24"/>
        </w:rPr>
        <w:footnoteReference w:id="40"/>
      </w:r>
      <w:r w:rsidRPr="0054190C">
        <w:rPr>
          <w:rFonts w:cs="Arial"/>
          <w:color w:val="000000"/>
          <w:sz w:val="24"/>
          <w:szCs w:val="24"/>
        </w:rPr>
        <w:t xml:space="preserve"> </w:t>
      </w:r>
    </w:p>
    <w:p w:rsidR="001C1253" w:rsidRPr="0054190C" w:rsidRDefault="001C1253" w:rsidP="001C1253">
      <w:pPr>
        <w:pStyle w:val="ListParagraph"/>
        <w:rPr>
          <w:rFonts w:cs="Arial"/>
          <w:color w:val="000000"/>
          <w:sz w:val="24"/>
          <w:szCs w:val="24"/>
        </w:rPr>
      </w:pPr>
    </w:p>
    <w:p w:rsidR="001C1253" w:rsidRPr="0054190C" w:rsidRDefault="001C1253" w:rsidP="00C673EA">
      <w:pPr>
        <w:pStyle w:val="ListParagraph"/>
        <w:numPr>
          <w:ilvl w:val="0"/>
          <w:numId w:val="35"/>
        </w:numPr>
        <w:tabs>
          <w:tab w:val="left" w:pos="426"/>
          <w:tab w:val="left" w:pos="1848"/>
          <w:tab w:val="left" w:pos="2773"/>
          <w:tab w:val="left" w:pos="3697"/>
          <w:tab w:val="left" w:pos="4621"/>
          <w:tab w:val="left" w:pos="5545"/>
          <w:tab w:val="left" w:pos="6469"/>
          <w:tab w:val="left" w:pos="7394"/>
          <w:tab w:val="left" w:pos="8318"/>
          <w:tab w:val="right" w:pos="8930"/>
        </w:tabs>
        <w:spacing w:after="160" w:line="259" w:lineRule="auto"/>
        <w:ind w:left="426" w:hanging="426"/>
        <w:rPr>
          <w:rFonts w:cs="Arial"/>
          <w:color w:val="000000"/>
          <w:sz w:val="24"/>
          <w:szCs w:val="24"/>
        </w:rPr>
      </w:pPr>
      <w:r w:rsidRPr="0054190C">
        <w:rPr>
          <w:rFonts w:cs="Arial"/>
          <w:color w:val="000000"/>
          <w:sz w:val="24"/>
          <w:szCs w:val="24"/>
        </w:rPr>
        <w:t xml:space="preserve">In November 2013, Christmas Island Detention Centre Medical Officers wrote an open letter of concern regarding the operation of the Centre.  The letter identified the Christmas Island </w:t>
      </w:r>
      <w:r w:rsidRPr="0054190C">
        <w:rPr>
          <w:rFonts w:cs="Arial"/>
          <w:color w:val="000000"/>
          <w:sz w:val="24"/>
          <w:szCs w:val="24"/>
          <w:lang w:val="en-GB"/>
        </w:rPr>
        <w:t>immigration detention centre as unsuitable for any person living with significant intellectual or physical disability: “[t]he detention environment exacerbates their burden of care and the facilities and medical services provided are inadequate to accommodate their needs.” It described how a young woman with cerebral palsy was “confined to a wheelchair in one of the island compounds’’.  Despite medical officers raising concerns from the time of her arrival that she was “not suitable for the detention environment”, and although ‘’exhibiting signs of mental distress, she had not been transferred.</w:t>
      </w:r>
      <w:r w:rsidRPr="0054190C">
        <w:rPr>
          <w:sz w:val="24"/>
          <w:szCs w:val="24"/>
          <w:vertAlign w:val="superscript"/>
          <w:lang w:val="en-GB"/>
        </w:rPr>
        <w:footnoteReference w:id="41"/>
      </w:r>
      <w:r w:rsidRPr="0054190C">
        <w:rPr>
          <w:rFonts w:cs="Arial"/>
          <w:color w:val="000000"/>
          <w:sz w:val="24"/>
          <w:szCs w:val="24"/>
          <w:lang w:val="en-GB"/>
        </w:rPr>
        <w:t xml:space="preserve"> </w:t>
      </w:r>
    </w:p>
    <w:p w:rsidR="001C1253" w:rsidRPr="00F236C7" w:rsidRDefault="001C1253" w:rsidP="00413A24">
      <w:pPr>
        <w:pStyle w:val="Heading1"/>
        <w:numPr>
          <w:ilvl w:val="0"/>
          <w:numId w:val="38"/>
        </w:numPr>
        <w:spacing w:before="240" w:after="120" w:line="259" w:lineRule="auto"/>
        <w:ind w:left="425" w:hanging="425"/>
        <w:rPr>
          <w:rFonts w:ascii="Arial" w:hAnsi="Arial" w:cs="Arial"/>
          <w:color w:val="1F497D" w:themeColor="text2"/>
        </w:rPr>
      </w:pPr>
      <w:r w:rsidRPr="00F236C7">
        <w:rPr>
          <w:rFonts w:ascii="Arial" w:hAnsi="Arial" w:cs="Arial"/>
          <w:color w:val="1F497D" w:themeColor="text2"/>
        </w:rPr>
        <w:t xml:space="preserve">Consequences for Human Rights </w:t>
      </w:r>
    </w:p>
    <w:p w:rsidR="001C1253" w:rsidRPr="0054190C" w:rsidRDefault="001C1253" w:rsidP="001C1253">
      <w:pPr>
        <w:pStyle w:val="ListParagraph"/>
        <w:numPr>
          <w:ilvl w:val="0"/>
          <w:numId w:val="35"/>
        </w:numPr>
        <w:tabs>
          <w:tab w:val="left" w:pos="426"/>
          <w:tab w:val="left" w:pos="1848"/>
          <w:tab w:val="left" w:pos="2773"/>
          <w:tab w:val="left" w:pos="3697"/>
          <w:tab w:val="left" w:pos="4621"/>
          <w:tab w:val="left" w:pos="5545"/>
          <w:tab w:val="left" w:pos="6469"/>
          <w:tab w:val="left" w:pos="7394"/>
          <w:tab w:val="left" w:pos="8318"/>
          <w:tab w:val="right" w:pos="8930"/>
        </w:tabs>
        <w:spacing w:before="120" w:after="120"/>
        <w:ind w:left="426" w:hanging="426"/>
        <w:jc w:val="both"/>
        <w:rPr>
          <w:rFonts w:cs="Arial"/>
          <w:color w:val="000000"/>
          <w:sz w:val="24"/>
          <w:szCs w:val="24"/>
        </w:rPr>
      </w:pPr>
      <w:r w:rsidRPr="0054190C">
        <w:rPr>
          <w:rFonts w:cs="Arial"/>
          <w:color w:val="000000"/>
          <w:sz w:val="24"/>
          <w:szCs w:val="24"/>
        </w:rPr>
        <w:t>Failures to recognise legal capacity and the inadequate provision of supported decision making mechanisms leads to heightened risk of people with cognitive impairment and/or psychosocial disability being indefinitely detained.  Moreover, when a finding of legal incapacity is found in a criminal or mental health context it impacts on other areas of a person’s life including the way that they are treated while in detention. In many instances, these rights violations can constitute torture or ill-treatment.</w:t>
      </w:r>
    </w:p>
    <w:p w:rsidR="001C1253" w:rsidRPr="00AC6515" w:rsidRDefault="001C1253" w:rsidP="001C1253">
      <w:pPr>
        <w:pStyle w:val="Heading2"/>
        <w:ind w:firstLine="426"/>
        <w:rPr>
          <w:color w:val="1F497D" w:themeColor="text2"/>
        </w:rPr>
      </w:pPr>
      <w:r w:rsidRPr="00AC6515">
        <w:rPr>
          <w:color w:val="1F497D" w:themeColor="text2"/>
        </w:rPr>
        <w:t>Use of restrictive practices</w:t>
      </w:r>
      <w:r w:rsidRPr="00AC6515">
        <w:rPr>
          <w:rStyle w:val="FootnoteReference"/>
          <w:color w:val="1F497D" w:themeColor="text2"/>
        </w:rPr>
        <w:footnoteReference w:id="42"/>
      </w:r>
      <w:r w:rsidRPr="00AC6515">
        <w:rPr>
          <w:color w:val="1F497D" w:themeColor="text2"/>
        </w:rPr>
        <w:t xml:space="preserve"> </w:t>
      </w:r>
    </w:p>
    <w:p w:rsidR="001C1253" w:rsidRDefault="001C1253" w:rsidP="001C1253">
      <w:pPr>
        <w:pStyle w:val="ListParagraph"/>
        <w:numPr>
          <w:ilvl w:val="0"/>
          <w:numId w:val="35"/>
        </w:numPr>
        <w:tabs>
          <w:tab w:val="left" w:pos="426"/>
          <w:tab w:val="left" w:pos="1848"/>
          <w:tab w:val="left" w:pos="2773"/>
          <w:tab w:val="left" w:pos="3697"/>
          <w:tab w:val="left" w:pos="4621"/>
          <w:tab w:val="left" w:pos="5545"/>
          <w:tab w:val="left" w:pos="6469"/>
          <w:tab w:val="left" w:pos="7394"/>
          <w:tab w:val="left" w:pos="8318"/>
          <w:tab w:val="right" w:pos="8930"/>
        </w:tabs>
        <w:spacing w:before="120" w:after="120"/>
        <w:ind w:left="426" w:hanging="426"/>
        <w:jc w:val="both"/>
        <w:rPr>
          <w:rFonts w:cs="Arial"/>
          <w:color w:val="000000"/>
          <w:sz w:val="24"/>
          <w:szCs w:val="24"/>
        </w:rPr>
      </w:pPr>
      <w:r w:rsidRPr="0054190C">
        <w:rPr>
          <w:rFonts w:cs="Arial"/>
          <w:color w:val="000000"/>
          <w:sz w:val="24"/>
          <w:szCs w:val="24"/>
        </w:rPr>
        <w:t xml:space="preserve">People with disability in Australia are routinely subjected to unregulated and under-regulated behaviour management or treatment programs, known as restrictive practices that include chemical, mechanical, social and physical restraint, detention, seclusion and exclusionary time </w:t>
      </w:r>
      <w:r w:rsidRPr="0054190C">
        <w:rPr>
          <w:rFonts w:cs="Arial"/>
          <w:color w:val="000000"/>
          <w:sz w:val="24"/>
          <w:szCs w:val="24"/>
        </w:rPr>
        <w:lastRenderedPageBreak/>
        <w:t>out.</w:t>
      </w:r>
      <w:r w:rsidRPr="0054190C">
        <w:rPr>
          <w:rStyle w:val="FootnoteReference"/>
          <w:rFonts w:cs="Arial"/>
          <w:color w:val="000000"/>
          <w:sz w:val="24"/>
          <w:szCs w:val="24"/>
        </w:rPr>
        <w:footnoteReference w:id="43"/>
      </w:r>
      <w:r w:rsidRPr="0054190C">
        <w:rPr>
          <w:rFonts w:cs="Arial"/>
          <w:color w:val="000000"/>
          <w:sz w:val="24"/>
          <w:szCs w:val="24"/>
        </w:rPr>
        <w:t xml:space="preserve">  These practices can cause physical pain and discomfort, deprivation of liberty, prevent freedom of movement, and alter thought and thought processes.</w:t>
      </w:r>
      <w:r w:rsidRPr="0054190C">
        <w:rPr>
          <w:rStyle w:val="FootnoteReference"/>
          <w:rFonts w:cs="Arial"/>
          <w:color w:val="000000"/>
          <w:sz w:val="24"/>
          <w:szCs w:val="24"/>
        </w:rPr>
        <w:footnoteReference w:id="44"/>
      </w:r>
      <w:r w:rsidRPr="0054190C">
        <w:rPr>
          <w:rFonts w:cs="Arial"/>
          <w:color w:val="000000"/>
          <w:sz w:val="24"/>
          <w:szCs w:val="24"/>
        </w:rPr>
        <w:t xml:space="preserve">  </w:t>
      </w:r>
    </w:p>
    <w:p w:rsidR="001C1253" w:rsidRPr="0054190C" w:rsidRDefault="001C1253" w:rsidP="001C1253">
      <w:pPr>
        <w:pStyle w:val="ListParagraph"/>
        <w:tabs>
          <w:tab w:val="left" w:pos="426"/>
          <w:tab w:val="left" w:pos="1848"/>
          <w:tab w:val="left" w:pos="2773"/>
          <w:tab w:val="left" w:pos="3697"/>
          <w:tab w:val="left" w:pos="4621"/>
          <w:tab w:val="left" w:pos="5545"/>
          <w:tab w:val="left" w:pos="6469"/>
          <w:tab w:val="left" w:pos="7394"/>
          <w:tab w:val="left" w:pos="8318"/>
          <w:tab w:val="right" w:pos="8930"/>
        </w:tabs>
        <w:spacing w:before="120" w:after="120"/>
        <w:ind w:left="426"/>
        <w:jc w:val="both"/>
        <w:rPr>
          <w:rFonts w:cs="Arial"/>
          <w:color w:val="000000"/>
          <w:sz w:val="24"/>
          <w:szCs w:val="24"/>
        </w:rPr>
      </w:pPr>
    </w:p>
    <w:p w:rsidR="001C1253" w:rsidRPr="0054190C" w:rsidRDefault="001C1253" w:rsidP="001C1253">
      <w:pPr>
        <w:pStyle w:val="ListParagraph"/>
        <w:numPr>
          <w:ilvl w:val="0"/>
          <w:numId w:val="35"/>
        </w:numPr>
        <w:tabs>
          <w:tab w:val="left" w:pos="426"/>
          <w:tab w:val="left" w:pos="1848"/>
          <w:tab w:val="left" w:pos="2773"/>
          <w:tab w:val="left" w:pos="3697"/>
          <w:tab w:val="left" w:pos="4621"/>
          <w:tab w:val="left" w:pos="5545"/>
          <w:tab w:val="left" w:pos="6469"/>
          <w:tab w:val="left" w:pos="7394"/>
          <w:tab w:val="left" w:pos="8318"/>
          <w:tab w:val="right" w:pos="8930"/>
        </w:tabs>
        <w:spacing w:before="120" w:after="120"/>
        <w:ind w:left="426" w:hanging="426"/>
        <w:jc w:val="both"/>
        <w:rPr>
          <w:rFonts w:cs="Arial"/>
          <w:color w:val="000000"/>
          <w:sz w:val="24"/>
          <w:szCs w:val="24"/>
        </w:rPr>
      </w:pPr>
      <w:r w:rsidRPr="0054190C">
        <w:rPr>
          <w:rFonts w:cs="Arial"/>
          <w:sz w:val="24"/>
          <w:szCs w:val="24"/>
        </w:rPr>
        <w:t>There is a lack of evidence that these practices “</w:t>
      </w:r>
      <w:r w:rsidRPr="0054190C">
        <w:rPr>
          <w:rFonts w:cs="Arial"/>
          <w:color w:val="000000"/>
          <w:sz w:val="24"/>
          <w:szCs w:val="24"/>
        </w:rPr>
        <w:t>offer positive health outcomes” and they “are commonly associated with further trauma, risk of violence and potential human rights abuse”.</w:t>
      </w:r>
      <w:r w:rsidRPr="0054190C">
        <w:rPr>
          <w:sz w:val="24"/>
          <w:szCs w:val="24"/>
          <w:vertAlign w:val="superscript"/>
        </w:rPr>
        <w:footnoteReference w:id="45"/>
      </w:r>
      <w:r w:rsidRPr="0054190C">
        <w:rPr>
          <w:rFonts w:cs="Arial"/>
          <w:color w:val="000000"/>
          <w:sz w:val="24"/>
          <w:szCs w:val="24"/>
        </w:rPr>
        <w:t xml:space="preserve"> </w:t>
      </w:r>
      <w:r w:rsidRPr="0054190C">
        <w:rPr>
          <w:rFonts w:cs="Arial"/>
          <w:sz w:val="24"/>
          <w:szCs w:val="24"/>
        </w:rPr>
        <w:t>Many of the practices would be considered crimes if committed against people without disability, or outside of institutional and residential settings.</w:t>
      </w:r>
      <w:r w:rsidRPr="0054190C">
        <w:rPr>
          <w:sz w:val="24"/>
          <w:szCs w:val="24"/>
          <w:vertAlign w:val="superscript"/>
        </w:rPr>
        <w:footnoteReference w:id="46"/>
      </w:r>
      <w:r w:rsidRPr="0054190C">
        <w:rPr>
          <w:rFonts w:cs="Arial"/>
          <w:sz w:val="24"/>
          <w:szCs w:val="24"/>
        </w:rPr>
        <w:t xml:space="preserve">  However, when “perpetrated against persons with disabilities”, restrictive practices “remain invisible or are being justified” as legitimate treatment, behaviour modification or management instead of recognised as “torture or other cruel, inhuman or degrading treatment or punishment”.</w:t>
      </w:r>
      <w:r w:rsidRPr="0054190C">
        <w:rPr>
          <w:rStyle w:val="FootnoteReference"/>
          <w:rFonts w:cs="Arial"/>
          <w:sz w:val="24"/>
          <w:szCs w:val="24"/>
        </w:rPr>
        <w:footnoteReference w:id="47"/>
      </w:r>
      <w:r w:rsidRPr="0054190C">
        <w:rPr>
          <w:rFonts w:cs="Arial"/>
          <w:sz w:val="24"/>
          <w:szCs w:val="24"/>
        </w:rPr>
        <w:t xml:space="preserve">  </w:t>
      </w:r>
    </w:p>
    <w:p w:rsidR="001C1253" w:rsidRPr="0054190C" w:rsidRDefault="001C1253" w:rsidP="001C1253">
      <w:pPr>
        <w:pStyle w:val="ListParagraph"/>
        <w:tabs>
          <w:tab w:val="left" w:pos="426"/>
          <w:tab w:val="left" w:pos="1848"/>
          <w:tab w:val="left" w:pos="2773"/>
          <w:tab w:val="left" w:pos="3697"/>
          <w:tab w:val="left" w:pos="4621"/>
          <w:tab w:val="left" w:pos="5545"/>
          <w:tab w:val="left" w:pos="6469"/>
          <w:tab w:val="left" w:pos="7394"/>
          <w:tab w:val="left" w:pos="8318"/>
          <w:tab w:val="right" w:pos="8930"/>
        </w:tabs>
        <w:spacing w:before="120" w:after="120"/>
        <w:ind w:left="426"/>
        <w:jc w:val="both"/>
        <w:rPr>
          <w:rFonts w:cs="Arial"/>
          <w:color w:val="000000"/>
          <w:sz w:val="24"/>
          <w:szCs w:val="24"/>
        </w:rPr>
      </w:pPr>
    </w:p>
    <w:p w:rsidR="001C1253" w:rsidRPr="0054190C" w:rsidRDefault="001C1253" w:rsidP="001C1253">
      <w:pPr>
        <w:pStyle w:val="ListParagraph"/>
        <w:numPr>
          <w:ilvl w:val="0"/>
          <w:numId w:val="35"/>
        </w:numPr>
        <w:tabs>
          <w:tab w:val="left" w:pos="426"/>
          <w:tab w:val="left" w:pos="1848"/>
          <w:tab w:val="left" w:pos="2773"/>
          <w:tab w:val="left" w:pos="3697"/>
          <w:tab w:val="left" w:pos="4621"/>
          <w:tab w:val="left" w:pos="5545"/>
          <w:tab w:val="left" w:pos="6469"/>
          <w:tab w:val="left" w:pos="7394"/>
          <w:tab w:val="left" w:pos="8318"/>
          <w:tab w:val="right" w:pos="8930"/>
        </w:tabs>
        <w:spacing w:before="120" w:after="120"/>
        <w:ind w:left="426" w:hanging="426"/>
        <w:jc w:val="both"/>
        <w:rPr>
          <w:rFonts w:cs="Arial"/>
          <w:color w:val="000000"/>
          <w:sz w:val="24"/>
          <w:szCs w:val="24"/>
        </w:rPr>
      </w:pPr>
      <w:r w:rsidRPr="0054190C">
        <w:rPr>
          <w:rFonts w:cs="Arial"/>
          <w:sz w:val="24"/>
          <w:szCs w:val="24"/>
        </w:rPr>
        <w:t>Available research has shown that “behaviours of concern” are often “adaptive behaviours to maladaptive environments”, and “legitimate responses to difficult environments and situations”, especially “communal settings [which] multiply behaviours which make [people with disability] feel unsafe”.</w:t>
      </w:r>
      <w:r w:rsidRPr="0054190C">
        <w:rPr>
          <w:rStyle w:val="FootnoteReference"/>
          <w:rFonts w:cs="Arial"/>
          <w:sz w:val="24"/>
          <w:szCs w:val="24"/>
        </w:rPr>
        <w:footnoteReference w:id="48"/>
      </w:r>
      <w:r w:rsidRPr="0054190C">
        <w:rPr>
          <w:rFonts w:cs="Arial"/>
          <w:sz w:val="24"/>
          <w:szCs w:val="24"/>
        </w:rPr>
        <w:t xml:space="preserve"> These behaviours can be </w:t>
      </w:r>
      <w:r w:rsidRPr="0054190C">
        <w:rPr>
          <w:rFonts w:cs="Arial"/>
          <w:color w:val="000000"/>
          <w:sz w:val="24"/>
          <w:szCs w:val="24"/>
        </w:rPr>
        <w:t>viewed as a form of resistance or protest to maladaptive environments; and should be viewed as legitimate responses to problematic environments and situations. Changing services, systems and environments should be the starting point for changing behaviour, rather than changing the person.</w:t>
      </w:r>
      <w:r w:rsidRPr="0054190C">
        <w:rPr>
          <w:color w:val="000000"/>
          <w:sz w:val="24"/>
          <w:szCs w:val="24"/>
          <w:vertAlign w:val="superscript"/>
        </w:rPr>
        <w:footnoteReference w:id="49"/>
      </w:r>
      <w:r w:rsidRPr="0054190C">
        <w:rPr>
          <w:rFonts w:cs="Arial"/>
          <w:color w:val="000000"/>
          <w:sz w:val="24"/>
          <w:szCs w:val="24"/>
        </w:rPr>
        <w:t xml:space="preserve">  </w:t>
      </w:r>
      <w:r w:rsidRPr="0054190C">
        <w:rPr>
          <w:rFonts w:cs="Arial"/>
          <w:sz w:val="24"/>
          <w:szCs w:val="24"/>
        </w:rPr>
        <w:t xml:space="preserve">Protests against treatment or detention itself may often be understood as “behaviours of concern” necessitating restrictive practices. </w:t>
      </w:r>
    </w:p>
    <w:p w:rsidR="001C1253" w:rsidRPr="008533C7" w:rsidRDefault="001C1253" w:rsidP="001C1253">
      <w:pPr>
        <w:pStyle w:val="Heading3"/>
        <w:ind w:firstLine="426"/>
        <w:rPr>
          <w:color w:val="1F497D" w:themeColor="text2"/>
          <w:sz w:val="26"/>
          <w:szCs w:val="26"/>
        </w:rPr>
      </w:pPr>
      <w:r w:rsidRPr="008533C7">
        <w:rPr>
          <w:color w:val="1F497D" w:themeColor="text2"/>
          <w:sz w:val="26"/>
          <w:szCs w:val="26"/>
        </w:rPr>
        <w:t xml:space="preserve">Solitary confinement </w:t>
      </w:r>
    </w:p>
    <w:p w:rsidR="001C1253" w:rsidRPr="0054190C" w:rsidRDefault="001C1253" w:rsidP="001C1253">
      <w:pPr>
        <w:pStyle w:val="ListParagraph"/>
        <w:numPr>
          <w:ilvl w:val="0"/>
          <w:numId w:val="35"/>
        </w:numPr>
        <w:tabs>
          <w:tab w:val="left" w:pos="1848"/>
          <w:tab w:val="left" w:pos="2773"/>
          <w:tab w:val="left" w:pos="3697"/>
          <w:tab w:val="left" w:pos="4621"/>
          <w:tab w:val="left" w:pos="5545"/>
          <w:tab w:val="left" w:pos="6469"/>
          <w:tab w:val="left" w:pos="7394"/>
          <w:tab w:val="left" w:pos="8318"/>
          <w:tab w:val="right" w:pos="8930"/>
        </w:tabs>
        <w:spacing w:before="120" w:after="120"/>
        <w:ind w:left="426" w:hanging="426"/>
        <w:jc w:val="both"/>
        <w:rPr>
          <w:rFonts w:cs="Arial"/>
          <w:color w:val="000000"/>
          <w:sz w:val="24"/>
          <w:szCs w:val="24"/>
        </w:rPr>
      </w:pPr>
      <w:r w:rsidRPr="0054190C">
        <w:rPr>
          <w:rFonts w:cs="Arial"/>
          <w:sz w:val="24"/>
          <w:szCs w:val="24"/>
        </w:rPr>
        <w:t xml:space="preserve">In the indefinite detention context of prison, forensic disability units and disability justice centres restrictive practices commonly include solitary confinement (also known as seclusion or isolation).  </w:t>
      </w:r>
      <w:r w:rsidRPr="0054190C">
        <w:rPr>
          <w:rFonts w:cs="Arial"/>
          <w:color w:val="000000"/>
          <w:sz w:val="24"/>
          <w:szCs w:val="24"/>
        </w:rPr>
        <w:t xml:space="preserve">The Special Rapporteur on Torture Juan Mendez has previously concluded that the imposition of solitary confinement to people with ‘’mental disability” is cruel, inhuman or </w:t>
      </w:r>
      <w:r w:rsidRPr="0054190C">
        <w:rPr>
          <w:rFonts w:cs="Arial"/>
          <w:color w:val="000000"/>
          <w:sz w:val="24"/>
          <w:szCs w:val="24"/>
        </w:rPr>
        <w:lastRenderedPageBreak/>
        <w:t>degrading treatment and violates Article 16 CAT, and that its prolonged use - over 15 days - may constitute torture.</w:t>
      </w:r>
      <w:r w:rsidRPr="0054190C">
        <w:rPr>
          <w:rFonts w:cs="Arial"/>
          <w:color w:val="000000"/>
          <w:sz w:val="24"/>
          <w:szCs w:val="24"/>
          <w:vertAlign w:val="superscript"/>
        </w:rPr>
        <w:footnoteReference w:id="50"/>
      </w:r>
      <w:r w:rsidRPr="0054190C">
        <w:rPr>
          <w:rFonts w:cs="Arial"/>
          <w:color w:val="000000"/>
          <w:sz w:val="24"/>
          <w:szCs w:val="24"/>
        </w:rPr>
        <w:t xml:space="preserve"> </w:t>
      </w:r>
    </w:p>
    <w:p w:rsidR="001C1253" w:rsidRPr="0054190C" w:rsidRDefault="001C1253" w:rsidP="001C1253">
      <w:pPr>
        <w:pStyle w:val="ListParagraph"/>
        <w:tabs>
          <w:tab w:val="left" w:pos="1848"/>
          <w:tab w:val="left" w:pos="2773"/>
          <w:tab w:val="left" w:pos="3697"/>
          <w:tab w:val="left" w:pos="4621"/>
          <w:tab w:val="left" w:pos="5545"/>
          <w:tab w:val="left" w:pos="6469"/>
          <w:tab w:val="left" w:pos="7394"/>
          <w:tab w:val="left" w:pos="8318"/>
          <w:tab w:val="right" w:pos="8930"/>
        </w:tabs>
        <w:spacing w:before="120" w:after="120"/>
        <w:ind w:left="426"/>
        <w:jc w:val="both"/>
        <w:rPr>
          <w:rFonts w:cs="Arial"/>
          <w:color w:val="000000"/>
          <w:sz w:val="24"/>
          <w:szCs w:val="24"/>
        </w:rPr>
      </w:pPr>
    </w:p>
    <w:p w:rsidR="001C1253" w:rsidRPr="0054190C" w:rsidRDefault="001C1253" w:rsidP="001C1253">
      <w:pPr>
        <w:pStyle w:val="ListParagraph"/>
        <w:numPr>
          <w:ilvl w:val="0"/>
          <w:numId w:val="35"/>
        </w:numPr>
        <w:tabs>
          <w:tab w:val="left" w:pos="1848"/>
          <w:tab w:val="left" w:pos="2773"/>
          <w:tab w:val="left" w:pos="3697"/>
          <w:tab w:val="left" w:pos="4621"/>
          <w:tab w:val="left" w:pos="5545"/>
          <w:tab w:val="left" w:pos="6469"/>
          <w:tab w:val="left" w:pos="7394"/>
          <w:tab w:val="left" w:pos="8318"/>
          <w:tab w:val="right" w:pos="8930"/>
        </w:tabs>
        <w:spacing w:before="120" w:after="120"/>
        <w:ind w:left="426" w:hanging="426"/>
        <w:jc w:val="both"/>
        <w:rPr>
          <w:rFonts w:cs="Arial"/>
          <w:color w:val="000000"/>
          <w:sz w:val="24"/>
          <w:szCs w:val="24"/>
        </w:rPr>
      </w:pPr>
      <w:r w:rsidRPr="0054190C">
        <w:rPr>
          <w:rFonts w:cs="Arial"/>
          <w:color w:val="000000"/>
          <w:sz w:val="24"/>
          <w:szCs w:val="24"/>
        </w:rPr>
        <w:t>Prolonged solitary confinement is used as a management tool for people incarcerated within Australian prisons and Disability Justice Centres. Under Australian law, the governor of a correctional centre may direct that an inmate be held in solitary confinement if the inmate poses a threat to the security or good order and discipline of the prison.</w:t>
      </w:r>
      <w:r w:rsidRPr="0054190C">
        <w:rPr>
          <w:rFonts w:cs="Arial"/>
          <w:sz w:val="24"/>
          <w:szCs w:val="24"/>
          <w:vertAlign w:val="superscript"/>
        </w:rPr>
        <w:footnoteReference w:id="51"/>
      </w:r>
      <w:r w:rsidRPr="0054190C">
        <w:rPr>
          <w:rFonts w:cs="Arial"/>
          <w:color w:val="000000"/>
          <w:sz w:val="24"/>
          <w:szCs w:val="24"/>
        </w:rPr>
        <w:t xml:space="preserve"> The practice is particularly damaging for people with psychosocial disability as it can lead to exacerbating their condition.</w:t>
      </w:r>
      <w:r w:rsidRPr="0054190C">
        <w:rPr>
          <w:rFonts w:cs="Arial"/>
          <w:sz w:val="24"/>
          <w:szCs w:val="24"/>
          <w:vertAlign w:val="superscript"/>
        </w:rPr>
        <w:footnoteReference w:id="52"/>
      </w:r>
      <w:r w:rsidRPr="0054190C">
        <w:rPr>
          <w:rFonts w:cs="Arial"/>
          <w:color w:val="000000"/>
          <w:sz w:val="24"/>
          <w:szCs w:val="24"/>
        </w:rPr>
        <w:t xml:space="preserve"> </w:t>
      </w:r>
    </w:p>
    <w:p w:rsidR="001C1253" w:rsidRPr="0054190C" w:rsidRDefault="001C1253" w:rsidP="001C1253">
      <w:pPr>
        <w:pStyle w:val="ListParagraph"/>
        <w:rPr>
          <w:rFonts w:cs="Arial"/>
          <w:color w:val="000000"/>
          <w:sz w:val="24"/>
          <w:szCs w:val="24"/>
        </w:rPr>
      </w:pPr>
    </w:p>
    <w:p w:rsidR="001C1253" w:rsidRPr="0054190C" w:rsidRDefault="001C1253" w:rsidP="007B0293">
      <w:pPr>
        <w:pStyle w:val="ListParagraph"/>
        <w:numPr>
          <w:ilvl w:val="0"/>
          <w:numId w:val="35"/>
        </w:numPr>
        <w:tabs>
          <w:tab w:val="left" w:pos="1848"/>
          <w:tab w:val="left" w:pos="2773"/>
          <w:tab w:val="left" w:pos="3697"/>
          <w:tab w:val="left" w:pos="4621"/>
          <w:tab w:val="left" w:pos="5545"/>
          <w:tab w:val="left" w:pos="6469"/>
          <w:tab w:val="left" w:pos="7394"/>
          <w:tab w:val="left" w:pos="8318"/>
          <w:tab w:val="right" w:pos="8930"/>
        </w:tabs>
        <w:spacing w:before="120" w:after="160"/>
        <w:ind w:left="425" w:hanging="425"/>
        <w:contextualSpacing w:val="0"/>
        <w:jc w:val="both"/>
        <w:rPr>
          <w:rFonts w:cs="Arial"/>
          <w:color w:val="000000"/>
          <w:sz w:val="24"/>
          <w:szCs w:val="24"/>
        </w:rPr>
      </w:pPr>
      <w:r w:rsidRPr="0054190C">
        <w:rPr>
          <w:rFonts w:cs="Arial"/>
          <w:color w:val="000000"/>
          <w:sz w:val="24"/>
          <w:szCs w:val="24"/>
        </w:rPr>
        <w:t>Prisoners with disability are often placed in isolated management and observation cells when displaying ‘behaviours of concern’ because of a lack of other appropriate accommodation and support options.</w:t>
      </w:r>
      <w:r w:rsidRPr="0054190C">
        <w:rPr>
          <w:rFonts w:cs="Arial"/>
          <w:sz w:val="24"/>
          <w:szCs w:val="24"/>
          <w:vertAlign w:val="superscript"/>
        </w:rPr>
        <w:footnoteReference w:id="53"/>
      </w:r>
      <w:r w:rsidRPr="0054190C">
        <w:rPr>
          <w:rFonts w:cs="Arial"/>
          <w:color w:val="000000"/>
          <w:sz w:val="24"/>
          <w:szCs w:val="24"/>
        </w:rPr>
        <w:t xml:space="preserve"> Being placed in isolation and seclusion also occurs where a prisoner has been diagnosed with a health condition or impairment that requires appropriate treatment or support rather than punishment.</w:t>
      </w:r>
      <w:r w:rsidRPr="0054190C">
        <w:rPr>
          <w:rFonts w:cs="Arial"/>
          <w:sz w:val="24"/>
          <w:szCs w:val="24"/>
          <w:vertAlign w:val="superscript"/>
        </w:rPr>
        <w:footnoteReference w:id="54"/>
      </w:r>
    </w:p>
    <w:p w:rsidR="001C1253" w:rsidRPr="00A25E3B" w:rsidRDefault="001C1253" w:rsidP="001C125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26"/>
        <w:jc w:val="both"/>
        <w:rPr>
          <w:rFonts w:cs="Arial"/>
          <w:b/>
          <w:i/>
          <w:sz w:val="24"/>
          <w:szCs w:val="24"/>
        </w:rPr>
      </w:pPr>
      <w:r w:rsidRPr="00A25E3B">
        <w:rPr>
          <w:rFonts w:cs="Arial"/>
          <w:b/>
          <w:i/>
          <w:sz w:val="24"/>
          <w:szCs w:val="24"/>
        </w:rPr>
        <w:t>Case Study: Mr S a forensic patient in prison who committed suicide in 2006 whilst in solitary confinement. Contrary to medical advice, Mr S was placed in solitary confinement in the High Risk Management Unit after murdering his cellmate during a ‘psychotic’ episode. Mr S committed suicide shortly after being found not guilty of his cellmate’s murder on the grounds of ‘mental impairment’. Due to a lack of beds for forensic patients in the state prisons, Mr S was never moved to a mental health facility. The Deputy State Coroner strongly criticised the events that led to his suicide and recommended persons with psychosocial disability are not subjected to solitary confinement except as a safety intervention of last resort and for limited periods of time.</w:t>
      </w:r>
      <w:r w:rsidRPr="00A25E3B">
        <w:rPr>
          <w:rFonts w:cs="Arial"/>
          <w:i/>
          <w:sz w:val="24"/>
          <w:szCs w:val="24"/>
          <w:vertAlign w:val="superscript"/>
        </w:rPr>
        <w:footnoteReference w:id="55"/>
      </w:r>
    </w:p>
    <w:p w:rsidR="001C1253" w:rsidRPr="008533C7" w:rsidRDefault="001C1253" w:rsidP="001C1253">
      <w:pPr>
        <w:pStyle w:val="Heading2"/>
        <w:ind w:firstLine="426"/>
        <w:rPr>
          <w:rFonts w:cstheme="majorHAnsi"/>
          <w:b w:val="0"/>
          <w:color w:val="1F497D" w:themeColor="text2"/>
        </w:rPr>
      </w:pPr>
      <w:r w:rsidRPr="008533C7">
        <w:rPr>
          <w:rStyle w:val="Heading3Char"/>
          <w:rFonts w:cstheme="majorHAnsi"/>
          <w:b/>
          <w:color w:val="1F497D" w:themeColor="text2"/>
          <w:sz w:val="26"/>
          <w:szCs w:val="26"/>
        </w:rPr>
        <w:t>Forced treatment</w:t>
      </w:r>
      <w:r w:rsidRPr="008533C7">
        <w:rPr>
          <w:rStyle w:val="FootnoteReference"/>
          <w:rFonts w:cstheme="majorHAnsi"/>
          <w:b w:val="0"/>
          <w:color w:val="1F497D" w:themeColor="text2"/>
        </w:rPr>
        <w:footnoteReference w:id="56"/>
      </w:r>
      <w:r w:rsidRPr="008533C7">
        <w:rPr>
          <w:rFonts w:cstheme="majorHAnsi"/>
          <w:b w:val="0"/>
          <w:color w:val="1F497D" w:themeColor="text2"/>
        </w:rPr>
        <w:t xml:space="preserve"> </w:t>
      </w:r>
    </w:p>
    <w:p w:rsidR="001C1253" w:rsidRPr="0054190C" w:rsidRDefault="001C1253" w:rsidP="001C1253">
      <w:pPr>
        <w:numPr>
          <w:ilvl w:val="0"/>
          <w:numId w:val="3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26" w:hanging="426"/>
        <w:contextualSpacing/>
        <w:jc w:val="both"/>
        <w:rPr>
          <w:rFonts w:cs="Arial"/>
          <w:color w:val="000000"/>
          <w:sz w:val="24"/>
          <w:szCs w:val="24"/>
        </w:rPr>
      </w:pPr>
      <w:r w:rsidRPr="0054190C">
        <w:rPr>
          <w:rFonts w:cs="Arial"/>
          <w:color w:val="000000"/>
          <w:sz w:val="24"/>
          <w:szCs w:val="24"/>
        </w:rPr>
        <w:t xml:space="preserve">People with disability face a deprivation of their mental and physical integrity through involuntary treatment. The UN Rapporteur on Torture has stated that “the more intrusive and </w:t>
      </w:r>
      <w:r w:rsidRPr="0054190C">
        <w:rPr>
          <w:rFonts w:cs="Arial"/>
          <w:color w:val="000000"/>
          <w:sz w:val="24"/>
          <w:szCs w:val="24"/>
        </w:rPr>
        <w:lastRenderedPageBreak/>
        <w:t>irreversible the treatment, the greater the obligation on States to ensure that health professionals provide care to persons with disabilities only on the basis of their free and informed consent”.</w:t>
      </w:r>
      <w:r w:rsidRPr="0054190C">
        <w:rPr>
          <w:rFonts w:cs="Arial"/>
          <w:color w:val="000000"/>
          <w:sz w:val="24"/>
          <w:szCs w:val="24"/>
          <w:vertAlign w:val="superscript"/>
        </w:rPr>
        <w:footnoteReference w:id="57"/>
      </w:r>
      <w:r w:rsidRPr="0054190C">
        <w:rPr>
          <w:rFonts w:cs="Arial"/>
          <w:color w:val="000000"/>
          <w:sz w:val="24"/>
          <w:szCs w:val="24"/>
        </w:rPr>
        <w:t xml:space="preserve"> This comment was directed to the use of forced psychosurgery and electroconvulsive therapy (ECT), but the Rapporteur has also stated that ‘’forced psychiatric interventions, when committed against persons with psychosocial disabilities, satisfies both intent and purpose required under Article 1 of CAT </w:t>
      </w:r>
      <w:r>
        <w:rPr>
          <w:rFonts w:cs="Arial"/>
          <w:color w:val="000000"/>
          <w:sz w:val="24"/>
          <w:szCs w:val="24"/>
        </w:rPr>
        <w:t xml:space="preserve">(Torture) </w:t>
      </w:r>
      <w:r w:rsidRPr="0054190C">
        <w:rPr>
          <w:rFonts w:cs="Arial"/>
          <w:color w:val="000000"/>
          <w:sz w:val="24"/>
          <w:szCs w:val="24"/>
        </w:rPr>
        <w:t>notwithstanding claims of ‘good intentions’ by medical professionals.”</w:t>
      </w:r>
      <w:r w:rsidRPr="0054190C">
        <w:rPr>
          <w:rFonts w:cs="Arial"/>
          <w:color w:val="000000"/>
          <w:sz w:val="24"/>
          <w:szCs w:val="24"/>
          <w:vertAlign w:val="superscript"/>
        </w:rPr>
        <w:footnoteReference w:id="58"/>
      </w:r>
      <w:r w:rsidRPr="0054190C">
        <w:rPr>
          <w:rFonts w:cs="Arial"/>
          <w:color w:val="000000"/>
          <w:sz w:val="24"/>
          <w:szCs w:val="24"/>
        </w:rPr>
        <w:t xml:space="preserve"> </w:t>
      </w:r>
    </w:p>
    <w:p w:rsidR="001C1253" w:rsidRPr="0054190C" w:rsidRDefault="001C1253" w:rsidP="001C125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26"/>
        <w:contextualSpacing/>
        <w:jc w:val="both"/>
        <w:rPr>
          <w:rFonts w:cs="Arial"/>
          <w:color w:val="000000"/>
          <w:sz w:val="24"/>
          <w:szCs w:val="24"/>
        </w:rPr>
      </w:pPr>
    </w:p>
    <w:p w:rsidR="001C1253" w:rsidRPr="0054190C" w:rsidRDefault="001C1253" w:rsidP="001C1253">
      <w:pPr>
        <w:numPr>
          <w:ilvl w:val="0"/>
          <w:numId w:val="3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26" w:hanging="426"/>
        <w:contextualSpacing/>
        <w:jc w:val="both"/>
        <w:rPr>
          <w:rFonts w:cs="Arial"/>
          <w:color w:val="000000"/>
          <w:sz w:val="24"/>
          <w:szCs w:val="24"/>
        </w:rPr>
      </w:pPr>
      <w:r w:rsidRPr="0054190C">
        <w:rPr>
          <w:rFonts w:cs="Arial"/>
          <w:color w:val="000000"/>
          <w:sz w:val="24"/>
          <w:szCs w:val="24"/>
        </w:rPr>
        <w:t>The compulsory treatment of people with disability in the form of an Involuntary Treatment Order (ITO),</w:t>
      </w:r>
      <w:r w:rsidRPr="0054190C">
        <w:rPr>
          <w:rFonts w:cs="Arial"/>
          <w:color w:val="000000"/>
          <w:sz w:val="24"/>
          <w:szCs w:val="24"/>
          <w:vertAlign w:val="superscript"/>
        </w:rPr>
        <w:footnoteReference w:id="59"/>
      </w:r>
      <w:r w:rsidRPr="0054190C">
        <w:rPr>
          <w:rFonts w:cs="Arial"/>
          <w:color w:val="000000"/>
          <w:sz w:val="24"/>
          <w:szCs w:val="24"/>
        </w:rPr>
        <w:t xml:space="preserve"> Supervised Treatment Order (STO)</w:t>
      </w:r>
      <w:r w:rsidRPr="0054190C">
        <w:rPr>
          <w:rFonts w:cs="Arial"/>
          <w:color w:val="000000"/>
          <w:sz w:val="24"/>
          <w:szCs w:val="24"/>
          <w:vertAlign w:val="superscript"/>
        </w:rPr>
        <w:footnoteReference w:id="60"/>
      </w:r>
      <w:r w:rsidRPr="0054190C">
        <w:rPr>
          <w:rFonts w:cs="Arial"/>
          <w:color w:val="000000"/>
          <w:sz w:val="24"/>
          <w:szCs w:val="24"/>
        </w:rPr>
        <w:t xml:space="preserve"> or Community Treatment Order (CTO)</w:t>
      </w:r>
      <w:r w:rsidRPr="0054190C">
        <w:rPr>
          <w:rFonts w:cs="Arial"/>
          <w:color w:val="000000"/>
          <w:sz w:val="24"/>
          <w:szCs w:val="24"/>
          <w:vertAlign w:val="superscript"/>
        </w:rPr>
        <w:footnoteReference w:id="61"/>
      </w:r>
      <w:r w:rsidRPr="0054190C">
        <w:rPr>
          <w:rFonts w:cs="Arial"/>
          <w:color w:val="000000"/>
          <w:sz w:val="24"/>
          <w:szCs w:val="24"/>
        </w:rPr>
        <w:t xml:space="preserve"> is authorised by mental health laws in all states and territories in Australia. Individuals who refuse compulsory treatment may be detained. Involuntary detention under Australian mental health laws gives rise to an ‘authority to treat’, except in Tasmania where the Guardianship Tribunals or the statutory ‘person responsible’ has responsibility for determining an order for treatment.</w:t>
      </w:r>
      <w:r w:rsidRPr="0054190C">
        <w:rPr>
          <w:rFonts w:cs="Arial"/>
          <w:color w:val="000000"/>
          <w:sz w:val="24"/>
          <w:szCs w:val="24"/>
          <w:vertAlign w:val="superscript"/>
        </w:rPr>
        <w:footnoteReference w:id="62"/>
      </w:r>
    </w:p>
    <w:p w:rsidR="001C1253" w:rsidRPr="0054190C" w:rsidRDefault="001C1253" w:rsidP="001C125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contextualSpacing/>
        <w:jc w:val="both"/>
        <w:rPr>
          <w:rFonts w:cs="Arial"/>
          <w:color w:val="000000"/>
          <w:sz w:val="24"/>
          <w:szCs w:val="24"/>
        </w:rPr>
      </w:pPr>
    </w:p>
    <w:p w:rsidR="001C1253" w:rsidRDefault="001C1253" w:rsidP="00417A6D">
      <w:pPr>
        <w:numPr>
          <w:ilvl w:val="0"/>
          <w:numId w:val="35"/>
        </w:numPr>
        <w:tabs>
          <w:tab w:val="left" w:pos="924"/>
          <w:tab w:val="left" w:pos="1848"/>
          <w:tab w:val="left" w:pos="2773"/>
          <w:tab w:val="left" w:pos="3697"/>
          <w:tab w:val="left" w:pos="4621"/>
          <w:tab w:val="left" w:pos="5545"/>
          <w:tab w:val="left" w:pos="6469"/>
          <w:tab w:val="left" w:pos="7394"/>
          <w:tab w:val="left" w:pos="8318"/>
          <w:tab w:val="right" w:pos="8930"/>
        </w:tabs>
        <w:spacing w:before="120" w:after="0"/>
        <w:ind w:left="425" w:hanging="425"/>
        <w:jc w:val="both"/>
        <w:rPr>
          <w:rFonts w:cs="Arial"/>
          <w:color w:val="000000"/>
          <w:sz w:val="24"/>
          <w:szCs w:val="24"/>
        </w:rPr>
      </w:pPr>
      <w:r w:rsidRPr="0054190C">
        <w:rPr>
          <w:rFonts w:cs="Arial"/>
          <w:color w:val="000000"/>
          <w:sz w:val="24"/>
          <w:szCs w:val="24"/>
        </w:rPr>
        <w:t xml:space="preserve">The laws regulating involuntary mental health treatment vary across the states and territories, but they all have failed to prevent, and in some cases, actively condone unacceptable practices, including </w:t>
      </w:r>
      <w:r w:rsidR="00417A6D" w:rsidRPr="00417A6D">
        <w:rPr>
          <w:rFonts w:cs="Arial"/>
          <w:color w:val="000000"/>
          <w:sz w:val="24"/>
          <w:szCs w:val="24"/>
        </w:rPr>
        <w:t>the widespread use of non-consensual psychiatric medications, electroconvulsive therapy (ECT), restrictive practices, such as seclusion and restra</w:t>
      </w:r>
      <w:r w:rsidR="00417A6D">
        <w:rPr>
          <w:rFonts w:cs="Arial"/>
          <w:color w:val="000000"/>
          <w:sz w:val="24"/>
          <w:szCs w:val="24"/>
        </w:rPr>
        <w:t>ints and arbitrary detention.</w:t>
      </w:r>
      <w:r w:rsidRPr="0054190C">
        <w:rPr>
          <w:rFonts w:cs="Arial"/>
          <w:color w:val="000000"/>
          <w:sz w:val="24"/>
          <w:szCs w:val="24"/>
          <w:vertAlign w:val="superscript"/>
        </w:rPr>
        <w:footnoteReference w:id="63"/>
      </w:r>
    </w:p>
    <w:p w:rsidR="00417A6D" w:rsidRDefault="00417A6D" w:rsidP="00417A6D">
      <w:pPr>
        <w:pStyle w:val="ListParagraph"/>
        <w:spacing w:after="0"/>
        <w:rPr>
          <w:rFonts w:cs="Arial"/>
          <w:color w:val="000000"/>
          <w:sz w:val="24"/>
          <w:szCs w:val="24"/>
        </w:rPr>
      </w:pPr>
    </w:p>
    <w:p w:rsidR="00417A6D" w:rsidRPr="00417A6D" w:rsidRDefault="00417A6D" w:rsidP="00417A6D">
      <w:pPr>
        <w:numPr>
          <w:ilvl w:val="0"/>
          <w:numId w:val="35"/>
        </w:numPr>
        <w:tabs>
          <w:tab w:val="left" w:pos="924"/>
          <w:tab w:val="left" w:pos="1848"/>
          <w:tab w:val="left" w:pos="2773"/>
          <w:tab w:val="left" w:pos="3697"/>
          <w:tab w:val="left" w:pos="4621"/>
          <w:tab w:val="left" w:pos="5545"/>
          <w:tab w:val="left" w:pos="6469"/>
          <w:tab w:val="left" w:pos="7394"/>
          <w:tab w:val="left" w:pos="8318"/>
          <w:tab w:val="right" w:pos="8930"/>
        </w:tabs>
        <w:spacing w:after="120"/>
        <w:ind w:left="425" w:hanging="425"/>
        <w:contextualSpacing/>
        <w:jc w:val="both"/>
        <w:rPr>
          <w:rFonts w:asciiTheme="majorHAnsi" w:hAnsiTheme="majorHAnsi" w:cstheme="majorHAnsi"/>
          <w:color w:val="000000"/>
          <w:sz w:val="24"/>
          <w:szCs w:val="24"/>
        </w:rPr>
      </w:pPr>
      <w:r w:rsidRPr="00417A6D">
        <w:rPr>
          <w:rFonts w:asciiTheme="majorHAnsi" w:hAnsiTheme="majorHAnsi" w:cstheme="majorHAnsi"/>
          <w:color w:val="000000"/>
          <w:sz w:val="24"/>
          <w:szCs w:val="24"/>
        </w:rPr>
        <w:t xml:space="preserve">In 2013, the </w:t>
      </w:r>
      <w:r w:rsidR="00FD1ED3">
        <w:rPr>
          <w:rFonts w:asciiTheme="majorHAnsi" w:hAnsiTheme="majorHAnsi" w:cstheme="majorHAnsi"/>
          <w:color w:val="000000"/>
          <w:sz w:val="24"/>
          <w:szCs w:val="24"/>
        </w:rPr>
        <w:t xml:space="preserve">UN </w:t>
      </w:r>
      <w:r w:rsidRPr="00417A6D">
        <w:rPr>
          <w:rFonts w:asciiTheme="majorHAnsi" w:hAnsiTheme="majorHAnsi" w:cstheme="majorHAnsi"/>
          <w:color w:val="000000"/>
          <w:sz w:val="24"/>
          <w:szCs w:val="24"/>
        </w:rPr>
        <w:t>CRPD Committee recommended to Australia to:</w:t>
      </w:r>
    </w:p>
    <w:p w:rsidR="00417A6D" w:rsidRDefault="00417A6D" w:rsidP="00417A6D">
      <w:pPr>
        <w:tabs>
          <w:tab w:val="left" w:pos="924"/>
          <w:tab w:val="left" w:pos="1848"/>
          <w:tab w:val="left" w:pos="2773"/>
          <w:tab w:val="left" w:pos="3697"/>
          <w:tab w:val="left" w:pos="4621"/>
          <w:tab w:val="left" w:pos="5545"/>
          <w:tab w:val="left" w:pos="6469"/>
          <w:tab w:val="left" w:pos="7394"/>
          <w:tab w:val="left" w:pos="8318"/>
          <w:tab w:val="right" w:pos="8930"/>
        </w:tabs>
        <w:ind w:left="567" w:right="720"/>
        <w:contextualSpacing/>
        <w:rPr>
          <w:rFonts w:asciiTheme="majorHAnsi" w:hAnsiTheme="majorHAnsi" w:cstheme="majorHAnsi"/>
          <w:i/>
          <w:color w:val="000000"/>
          <w:sz w:val="24"/>
          <w:szCs w:val="24"/>
        </w:rPr>
      </w:pPr>
      <w:r w:rsidRPr="00417A6D">
        <w:rPr>
          <w:rFonts w:asciiTheme="majorHAnsi" w:hAnsiTheme="majorHAnsi" w:cstheme="majorHAnsi"/>
          <w:i/>
          <w:color w:val="000000"/>
          <w:sz w:val="24"/>
          <w:szCs w:val="24"/>
        </w:rPr>
        <w:t>“…repeal all legislation that authorises medical intervention without the free and informed consent of the persons with disabilities concerned, committal of individuals to detention in mental health facilities, or imposition of compulsory treatment, either in institutions or in the community…”</w:t>
      </w:r>
      <w:r w:rsidRPr="00417A6D">
        <w:rPr>
          <w:rStyle w:val="FootnoteReference"/>
          <w:rFonts w:asciiTheme="majorHAnsi" w:hAnsiTheme="majorHAnsi" w:cstheme="majorHAnsi"/>
          <w:i/>
          <w:color w:val="000000"/>
          <w:sz w:val="24"/>
          <w:szCs w:val="24"/>
        </w:rPr>
        <w:footnoteReference w:id="64"/>
      </w:r>
    </w:p>
    <w:p w:rsidR="001C1253" w:rsidRPr="00FD1ED3" w:rsidRDefault="001C1253" w:rsidP="00FD1ED3">
      <w:pPr>
        <w:pStyle w:val="Heading2"/>
        <w:spacing w:after="120"/>
        <w:ind w:firstLine="425"/>
        <w:rPr>
          <w:color w:val="1F497D" w:themeColor="text2"/>
        </w:rPr>
      </w:pPr>
      <w:r w:rsidRPr="00FD1ED3">
        <w:rPr>
          <w:color w:val="1F497D" w:themeColor="text2"/>
        </w:rPr>
        <w:lastRenderedPageBreak/>
        <w:t>Denial of reasonable accommodation</w:t>
      </w:r>
      <w:r w:rsidRPr="00FD1ED3">
        <w:rPr>
          <w:rStyle w:val="FootnoteReference"/>
          <w:color w:val="1F497D" w:themeColor="text2"/>
        </w:rPr>
        <w:footnoteReference w:id="65"/>
      </w:r>
      <w:r w:rsidRPr="00FD1ED3">
        <w:rPr>
          <w:color w:val="1F497D" w:themeColor="text2"/>
        </w:rPr>
        <w:t xml:space="preserve"> </w:t>
      </w:r>
    </w:p>
    <w:p w:rsidR="001C1253" w:rsidRPr="0054190C" w:rsidRDefault="001C1253" w:rsidP="00FD1ED3">
      <w:pPr>
        <w:numPr>
          <w:ilvl w:val="0"/>
          <w:numId w:val="35"/>
        </w:numPr>
        <w:tabs>
          <w:tab w:val="left" w:pos="426"/>
          <w:tab w:val="left" w:pos="924"/>
          <w:tab w:val="left" w:pos="1848"/>
          <w:tab w:val="left" w:pos="2773"/>
          <w:tab w:val="left" w:pos="3697"/>
          <w:tab w:val="left" w:pos="4621"/>
          <w:tab w:val="left" w:pos="5545"/>
          <w:tab w:val="left" w:pos="6469"/>
          <w:tab w:val="left" w:pos="7394"/>
          <w:tab w:val="left" w:pos="8318"/>
          <w:tab w:val="right" w:pos="8930"/>
        </w:tabs>
        <w:spacing w:before="120" w:after="120"/>
        <w:ind w:left="425" w:hanging="425"/>
        <w:jc w:val="both"/>
        <w:rPr>
          <w:rFonts w:cs="Arial"/>
          <w:color w:val="000000"/>
          <w:sz w:val="24"/>
          <w:szCs w:val="24"/>
        </w:rPr>
      </w:pPr>
      <w:r w:rsidRPr="0054190C">
        <w:rPr>
          <w:rFonts w:cs="Arial"/>
          <w:color w:val="000000"/>
          <w:sz w:val="24"/>
          <w:szCs w:val="24"/>
        </w:rPr>
        <w:t>There is a lack of reasonable accommodation provided to prisoners with disability in general, and the consequences of this are compounded for people with cognitive impairment and or psychosocial disability. Despite the significant overrepresentation of people with disability in prison, prisoners with disability are often not provided with the necessary supports and safeguards they require to maintain their security and enjoyment of other human rights. Key issues include:</w:t>
      </w:r>
      <w:r w:rsidRPr="0054190C">
        <w:rPr>
          <w:rFonts w:cs="Arial"/>
          <w:color w:val="000000"/>
          <w:sz w:val="24"/>
          <w:szCs w:val="24"/>
          <w:vertAlign w:val="superscript"/>
        </w:rPr>
        <w:footnoteReference w:id="66"/>
      </w:r>
    </w:p>
    <w:p w:rsidR="001C1253" w:rsidRPr="0054190C" w:rsidRDefault="001C1253" w:rsidP="00054943">
      <w:pPr>
        <w:numPr>
          <w:ilvl w:val="0"/>
          <w:numId w:val="36"/>
        </w:numPr>
        <w:tabs>
          <w:tab w:val="left" w:pos="709"/>
          <w:tab w:val="left" w:pos="1848"/>
          <w:tab w:val="left" w:pos="2773"/>
          <w:tab w:val="left" w:pos="3697"/>
          <w:tab w:val="left" w:pos="4621"/>
          <w:tab w:val="left" w:pos="5545"/>
          <w:tab w:val="left" w:pos="6469"/>
          <w:tab w:val="left" w:pos="7394"/>
          <w:tab w:val="left" w:pos="8318"/>
          <w:tab w:val="right" w:pos="8930"/>
        </w:tabs>
        <w:spacing w:before="120" w:after="120"/>
        <w:ind w:left="709" w:hanging="283"/>
        <w:contextualSpacing/>
        <w:jc w:val="both"/>
        <w:rPr>
          <w:rFonts w:cs="Arial"/>
          <w:color w:val="000000"/>
          <w:sz w:val="24"/>
          <w:szCs w:val="24"/>
        </w:rPr>
      </w:pPr>
      <w:r w:rsidRPr="0054190C">
        <w:rPr>
          <w:rFonts w:cs="Arial"/>
          <w:color w:val="000000"/>
          <w:sz w:val="24"/>
          <w:szCs w:val="24"/>
        </w:rPr>
        <w:t>lack of protective supports to address the greater risks of people with disability, particularly people with intellectual disability to sexual assault, abuse and victimisation, and coercion into breaking rules and conducting illegal activities, such as drug dealing;</w:t>
      </w:r>
    </w:p>
    <w:p w:rsidR="001C1253" w:rsidRPr="0054190C" w:rsidRDefault="001C1253" w:rsidP="00054943">
      <w:pPr>
        <w:numPr>
          <w:ilvl w:val="0"/>
          <w:numId w:val="36"/>
        </w:numPr>
        <w:tabs>
          <w:tab w:val="left" w:pos="709"/>
          <w:tab w:val="left" w:pos="1848"/>
          <w:tab w:val="left" w:pos="2773"/>
          <w:tab w:val="left" w:pos="3697"/>
          <w:tab w:val="left" w:pos="4621"/>
          <w:tab w:val="left" w:pos="5545"/>
          <w:tab w:val="left" w:pos="6469"/>
          <w:tab w:val="left" w:pos="7394"/>
          <w:tab w:val="left" w:pos="8318"/>
          <w:tab w:val="right" w:pos="8930"/>
        </w:tabs>
        <w:spacing w:before="120" w:after="120"/>
        <w:ind w:left="709" w:hanging="283"/>
        <w:contextualSpacing/>
        <w:jc w:val="both"/>
        <w:rPr>
          <w:rFonts w:cs="Arial"/>
          <w:color w:val="000000"/>
          <w:sz w:val="24"/>
          <w:szCs w:val="24"/>
        </w:rPr>
      </w:pPr>
      <w:r w:rsidRPr="0054190C">
        <w:rPr>
          <w:rFonts w:cs="Arial"/>
          <w:color w:val="000000"/>
          <w:sz w:val="24"/>
          <w:szCs w:val="24"/>
        </w:rPr>
        <w:t>inadequate complaints processes and mechanisms for recording and responding to incidents, to support prisoners to make complaints and to ensure adequate protections against retribution for making complaints, including being placed in protective custody;</w:t>
      </w:r>
    </w:p>
    <w:p w:rsidR="001C1253" w:rsidRPr="0054190C" w:rsidRDefault="001C1253" w:rsidP="00054943">
      <w:pPr>
        <w:numPr>
          <w:ilvl w:val="0"/>
          <w:numId w:val="36"/>
        </w:numPr>
        <w:tabs>
          <w:tab w:val="left" w:pos="709"/>
          <w:tab w:val="left" w:pos="1848"/>
          <w:tab w:val="left" w:pos="2773"/>
          <w:tab w:val="left" w:pos="3697"/>
          <w:tab w:val="left" w:pos="4621"/>
          <w:tab w:val="left" w:pos="5545"/>
          <w:tab w:val="left" w:pos="6469"/>
          <w:tab w:val="left" w:pos="7394"/>
          <w:tab w:val="left" w:pos="8318"/>
          <w:tab w:val="right" w:pos="8930"/>
        </w:tabs>
        <w:spacing w:before="120" w:after="120"/>
        <w:ind w:left="709" w:hanging="283"/>
        <w:contextualSpacing/>
        <w:jc w:val="both"/>
        <w:rPr>
          <w:rFonts w:cs="Arial"/>
          <w:color w:val="000000"/>
          <w:sz w:val="24"/>
          <w:szCs w:val="24"/>
        </w:rPr>
      </w:pPr>
      <w:r w:rsidRPr="0054190C">
        <w:rPr>
          <w:rFonts w:cs="Arial"/>
          <w:color w:val="000000"/>
          <w:sz w:val="24"/>
          <w:szCs w:val="24"/>
        </w:rPr>
        <w:t>lack of information about prisoner rights and access to support to exercise their rights;</w:t>
      </w:r>
    </w:p>
    <w:p w:rsidR="001C1253" w:rsidRPr="0054190C" w:rsidRDefault="001C1253" w:rsidP="00054943">
      <w:pPr>
        <w:numPr>
          <w:ilvl w:val="0"/>
          <w:numId w:val="36"/>
        </w:numPr>
        <w:tabs>
          <w:tab w:val="left" w:pos="709"/>
          <w:tab w:val="left" w:pos="1848"/>
          <w:tab w:val="left" w:pos="2773"/>
          <w:tab w:val="left" w:pos="3697"/>
          <w:tab w:val="left" w:pos="4621"/>
          <w:tab w:val="left" w:pos="5545"/>
          <w:tab w:val="left" w:pos="6469"/>
          <w:tab w:val="left" w:pos="7394"/>
          <w:tab w:val="left" w:pos="8318"/>
          <w:tab w:val="right" w:pos="8930"/>
        </w:tabs>
        <w:spacing w:before="120" w:after="120"/>
        <w:ind w:left="709" w:hanging="283"/>
        <w:contextualSpacing/>
        <w:jc w:val="both"/>
        <w:rPr>
          <w:rFonts w:cs="Arial"/>
          <w:color w:val="000000"/>
          <w:sz w:val="24"/>
          <w:szCs w:val="24"/>
        </w:rPr>
      </w:pPr>
      <w:r w:rsidRPr="0054190C">
        <w:rPr>
          <w:rFonts w:cs="Arial"/>
          <w:color w:val="000000"/>
          <w:sz w:val="24"/>
          <w:szCs w:val="24"/>
        </w:rPr>
        <w:t>lack of identification of people with disability in prison, and consequent measures to provide necessary supports;</w:t>
      </w:r>
      <w:bookmarkStart w:id="1" w:name="_Ref322508111"/>
      <w:r w:rsidRPr="0054190C">
        <w:rPr>
          <w:rFonts w:cs="Arial"/>
          <w:color w:val="000000"/>
          <w:sz w:val="24"/>
          <w:szCs w:val="24"/>
          <w:vertAlign w:val="superscript"/>
        </w:rPr>
        <w:footnoteReference w:id="67"/>
      </w:r>
      <w:bookmarkEnd w:id="1"/>
    </w:p>
    <w:p w:rsidR="001C1253" w:rsidRPr="0054190C" w:rsidRDefault="001C1253" w:rsidP="00054943">
      <w:pPr>
        <w:numPr>
          <w:ilvl w:val="0"/>
          <w:numId w:val="36"/>
        </w:numPr>
        <w:tabs>
          <w:tab w:val="left" w:pos="709"/>
          <w:tab w:val="left" w:pos="1848"/>
          <w:tab w:val="left" w:pos="2773"/>
          <w:tab w:val="left" w:pos="3697"/>
          <w:tab w:val="left" w:pos="4621"/>
          <w:tab w:val="left" w:pos="5545"/>
          <w:tab w:val="left" w:pos="6469"/>
          <w:tab w:val="left" w:pos="7394"/>
          <w:tab w:val="left" w:pos="8318"/>
          <w:tab w:val="right" w:pos="8930"/>
        </w:tabs>
        <w:spacing w:before="120" w:after="120"/>
        <w:ind w:left="709" w:hanging="283"/>
        <w:contextualSpacing/>
        <w:jc w:val="both"/>
        <w:rPr>
          <w:rFonts w:cs="Arial"/>
          <w:color w:val="000000"/>
          <w:sz w:val="24"/>
          <w:szCs w:val="24"/>
        </w:rPr>
      </w:pPr>
      <w:r w:rsidRPr="0054190C">
        <w:rPr>
          <w:rFonts w:cs="Arial"/>
          <w:color w:val="000000"/>
          <w:sz w:val="24"/>
          <w:szCs w:val="24"/>
        </w:rPr>
        <w:t>inadequate services to provide support to prisoners leading up to their release, or provide assistance from community and forensic mental health workers;</w:t>
      </w:r>
      <w:r w:rsidRPr="0054190C">
        <w:rPr>
          <w:rFonts w:cs="Arial"/>
          <w:color w:val="000000"/>
          <w:sz w:val="24"/>
          <w:szCs w:val="24"/>
          <w:vertAlign w:val="superscript"/>
        </w:rPr>
        <w:footnoteReference w:id="68"/>
      </w:r>
    </w:p>
    <w:p w:rsidR="001C1253" w:rsidRPr="0054190C" w:rsidRDefault="001C1253" w:rsidP="00054943">
      <w:pPr>
        <w:numPr>
          <w:ilvl w:val="0"/>
          <w:numId w:val="36"/>
        </w:numPr>
        <w:tabs>
          <w:tab w:val="left" w:pos="709"/>
          <w:tab w:val="left" w:pos="1848"/>
          <w:tab w:val="left" w:pos="2773"/>
          <w:tab w:val="left" w:pos="3697"/>
          <w:tab w:val="left" w:pos="4621"/>
          <w:tab w:val="left" w:pos="5545"/>
          <w:tab w:val="left" w:pos="6469"/>
          <w:tab w:val="left" w:pos="7394"/>
          <w:tab w:val="left" w:pos="8318"/>
          <w:tab w:val="right" w:pos="8930"/>
        </w:tabs>
        <w:spacing w:before="120" w:after="120"/>
        <w:ind w:left="709" w:hanging="283"/>
        <w:contextualSpacing/>
        <w:jc w:val="both"/>
        <w:rPr>
          <w:rFonts w:cs="Arial"/>
          <w:color w:val="000000"/>
          <w:sz w:val="24"/>
          <w:szCs w:val="24"/>
        </w:rPr>
      </w:pPr>
      <w:r w:rsidRPr="0054190C">
        <w:rPr>
          <w:rFonts w:cs="Arial"/>
          <w:color w:val="000000"/>
          <w:sz w:val="24"/>
          <w:szCs w:val="24"/>
        </w:rPr>
        <w:t>lack of planning with disability, mental health and other social supports to facilitate successful return to the community;</w:t>
      </w:r>
      <w:r w:rsidRPr="0054190C">
        <w:rPr>
          <w:rFonts w:cs="Arial"/>
          <w:color w:val="000000"/>
          <w:sz w:val="24"/>
          <w:szCs w:val="24"/>
          <w:vertAlign w:val="superscript"/>
        </w:rPr>
        <w:footnoteReference w:id="69"/>
      </w:r>
    </w:p>
    <w:p w:rsidR="001C1253" w:rsidRPr="0054190C" w:rsidRDefault="001C1253" w:rsidP="00054943">
      <w:pPr>
        <w:numPr>
          <w:ilvl w:val="0"/>
          <w:numId w:val="36"/>
        </w:numPr>
        <w:tabs>
          <w:tab w:val="left" w:pos="709"/>
          <w:tab w:val="left" w:pos="1848"/>
          <w:tab w:val="left" w:pos="2773"/>
          <w:tab w:val="left" w:pos="3697"/>
          <w:tab w:val="left" w:pos="4621"/>
          <w:tab w:val="left" w:pos="5545"/>
          <w:tab w:val="left" w:pos="6469"/>
          <w:tab w:val="left" w:pos="7394"/>
          <w:tab w:val="left" w:pos="8318"/>
          <w:tab w:val="right" w:pos="8930"/>
        </w:tabs>
        <w:spacing w:before="120" w:after="120"/>
        <w:ind w:left="709" w:hanging="283"/>
        <w:contextualSpacing/>
        <w:jc w:val="both"/>
        <w:rPr>
          <w:rFonts w:cs="Arial"/>
          <w:color w:val="000000"/>
          <w:sz w:val="24"/>
          <w:szCs w:val="24"/>
        </w:rPr>
      </w:pPr>
      <w:r w:rsidRPr="0054190C">
        <w:rPr>
          <w:rFonts w:cs="Arial"/>
          <w:color w:val="000000"/>
          <w:sz w:val="24"/>
          <w:szCs w:val="24"/>
        </w:rPr>
        <w:t xml:space="preserve">lack of physical access to prison facilities and services; </w:t>
      </w:r>
    </w:p>
    <w:p w:rsidR="001C1253" w:rsidRPr="0054190C" w:rsidRDefault="001C1253" w:rsidP="00054943">
      <w:pPr>
        <w:numPr>
          <w:ilvl w:val="0"/>
          <w:numId w:val="36"/>
        </w:numPr>
        <w:tabs>
          <w:tab w:val="left" w:pos="709"/>
          <w:tab w:val="left" w:pos="1848"/>
          <w:tab w:val="left" w:pos="2773"/>
          <w:tab w:val="left" w:pos="3697"/>
          <w:tab w:val="left" w:pos="4621"/>
          <w:tab w:val="left" w:pos="5545"/>
          <w:tab w:val="left" w:pos="6469"/>
          <w:tab w:val="left" w:pos="7394"/>
          <w:tab w:val="left" w:pos="8318"/>
          <w:tab w:val="right" w:pos="8930"/>
        </w:tabs>
        <w:spacing w:before="120" w:after="120"/>
        <w:ind w:left="709" w:hanging="283"/>
        <w:contextualSpacing/>
        <w:jc w:val="both"/>
        <w:rPr>
          <w:rFonts w:cs="Arial"/>
          <w:color w:val="000000"/>
          <w:sz w:val="24"/>
          <w:szCs w:val="24"/>
        </w:rPr>
      </w:pPr>
      <w:r w:rsidRPr="0054190C">
        <w:rPr>
          <w:rFonts w:cs="Arial"/>
          <w:color w:val="000000"/>
          <w:sz w:val="24"/>
          <w:szCs w:val="24"/>
        </w:rPr>
        <w:t>lack of access to relevant aids and communication devices, sign language and community language interpreters and lack of personal care and hygiene supports; and</w:t>
      </w:r>
    </w:p>
    <w:p w:rsidR="001C1253" w:rsidRDefault="001C1253" w:rsidP="00054943">
      <w:pPr>
        <w:numPr>
          <w:ilvl w:val="0"/>
          <w:numId w:val="36"/>
        </w:numPr>
        <w:tabs>
          <w:tab w:val="left" w:pos="709"/>
          <w:tab w:val="left" w:pos="1848"/>
          <w:tab w:val="left" w:pos="2773"/>
          <w:tab w:val="left" w:pos="3697"/>
          <w:tab w:val="left" w:pos="4621"/>
          <w:tab w:val="left" w:pos="5545"/>
          <w:tab w:val="left" w:pos="6469"/>
          <w:tab w:val="left" w:pos="7394"/>
          <w:tab w:val="left" w:pos="8318"/>
          <w:tab w:val="right" w:pos="8930"/>
        </w:tabs>
        <w:spacing w:before="120" w:after="120"/>
        <w:ind w:left="709" w:hanging="283"/>
        <w:contextualSpacing/>
        <w:jc w:val="both"/>
        <w:rPr>
          <w:rFonts w:cs="Arial"/>
          <w:color w:val="000000"/>
          <w:sz w:val="24"/>
          <w:szCs w:val="24"/>
        </w:rPr>
      </w:pPr>
      <w:r w:rsidRPr="0054190C">
        <w:rPr>
          <w:rFonts w:cs="Arial"/>
          <w:color w:val="000000"/>
          <w:sz w:val="24"/>
          <w:szCs w:val="24"/>
        </w:rPr>
        <w:t>lack of necessary services and supports, such as mental health and medical services and supports.</w:t>
      </w:r>
    </w:p>
    <w:p w:rsidR="001C1253" w:rsidRPr="00770723" w:rsidRDefault="001C1253" w:rsidP="00413A24">
      <w:pPr>
        <w:tabs>
          <w:tab w:val="left" w:pos="567"/>
          <w:tab w:val="left" w:pos="1848"/>
          <w:tab w:val="left" w:pos="2773"/>
          <w:tab w:val="left" w:pos="3697"/>
          <w:tab w:val="left" w:pos="4621"/>
          <w:tab w:val="left" w:pos="5545"/>
          <w:tab w:val="left" w:pos="6469"/>
          <w:tab w:val="left" w:pos="7394"/>
          <w:tab w:val="left" w:pos="8318"/>
          <w:tab w:val="right" w:pos="8930"/>
        </w:tabs>
        <w:spacing w:before="120" w:after="0"/>
        <w:ind w:left="567"/>
        <w:jc w:val="both"/>
        <w:rPr>
          <w:rFonts w:cs="Arial"/>
          <w:color w:val="000000"/>
          <w:sz w:val="24"/>
          <w:szCs w:val="24"/>
        </w:rPr>
      </w:pPr>
    </w:p>
    <w:p w:rsidR="001C1253" w:rsidRPr="00FF0CF1" w:rsidRDefault="001C1253" w:rsidP="00413A24">
      <w:pPr>
        <w:pStyle w:val="ListParagraph"/>
        <w:numPr>
          <w:ilvl w:val="0"/>
          <w:numId w:val="35"/>
        </w:numPr>
        <w:tabs>
          <w:tab w:val="left" w:pos="567"/>
          <w:tab w:val="left" w:pos="1848"/>
          <w:tab w:val="left" w:pos="2773"/>
          <w:tab w:val="left" w:pos="3697"/>
          <w:tab w:val="left" w:pos="4621"/>
          <w:tab w:val="left" w:pos="5545"/>
          <w:tab w:val="left" w:pos="6469"/>
          <w:tab w:val="left" w:pos="7394"/>
          <w:tab w:val="left" w:pos="8318"/>
          <w:tab w:val="right" w:pos="8930"/>
        </w:tabs>
        <w:spacing w:after="120"/>
        <w:ind w:left="425" w:hanging="425"/>
        <w:contextualSpacing w:val="0"/>
        <w:jc w:val="both"/>
        <w:rPr>
          <w:rFonts w:cs="Arial"/>
          <w:color w:val="000000"/>
          <w:sz w:val="24"/>
          <w:szCs w:val="24"/>
        </w:rPr>
      </w:pPr>
      <w:r w:rsidRPr="0054190C">
        <w:rPr>
          <w:color w:val="000000"/>
          <w:sz w:val="24"/>
          <w:szCs w:val="24"/>
        </w:rPr>
        <w:t xml:space="preserve">Prisoners can face significant problems having complaints about prison administration investigated properly by Ombudsman due to a lack of resources, and the lack of enforceability </w:t>
      </w:r>
      <w:r w:rsidRPr="0054190C">
        <w:rPr>
          <w:color w:val="000000"/>
          <w:sz w:val="24"/>
          <w:szCs w:val="24"/>
        </w:rPr>
        <w:lastRenderedPageBreak/>
        <w:t>of determinations made by Ombudsman.</w:t>
      </w:r>
      <w:r w:rsidRPr="0054190C">
        <w:rPr>
          <w:sz w:val="24"/>
          <w:szCs w:val="24"/>
          <w:vertAlign w:val="superscript"/>
        </w:rPr>
        <w:footnoteReference w:id="70"/>
      </w:r>
      <w:r w:rsidRPr="0054190C">
        <w:rPr>
          <w:color w:val="000000"/>
          <w:sz w:val="24"/>
          <w:szCs w:val="24"/>
        </w:rPr>
        <w:t xml:space="preserve">  Common law remedies based on a negligence claim against the relevant government department by inmates who have sustained injury, including acquiring a mental health condition whilst in prison are limited.</w:t>
      </w:r>
      <w:r w:rsidRPr="0054190C">
        <w:rPr>
          <w:sz w:val="24"/>
          <w:szCs w:val="24"/>
          <w:vertAlign w:val="superscript"/>
        </w:rPr>
        <w:footnoteReference w:id="71"/>
      </w:r>
      <w:r w:rsidRPr="0054190C">
        <w:rPr>
          <w:color w:val="000000"/>
          <w:sz w:val="24"/>
          <w:szCs w:val="24"/>
        </w:rPr>
        <w:t xml:space="preserve"> In many cases, prisoners are also unable to bring negligence claims on the grounds of a lack of government resources, for example, supervisory resources, even where limited resources may have contributed to the injury occurring.</w:t>
      </w:r>
      <w:r w:rsidRPr="0054190C">
        <w:rPr>
          <w:sz w:val="24"/>
          <w:szCs w:val="24"/>
          <w:vertAlign w:val="superscript"/>
        </w:rPr>
        <w:footnoteReference w:id="72"/>
      </w:r>
    </w:p>
    <w:p w:rsidR="001C1253" w:rsidRPr="00413A24" w:rsidRDefault="001C1253" w:rsidP="001C1253">
      <w:pPr>
        <w:pStyle w:val="Heading2"/>
        <w:ind w:firstLine="426"/>
        <w:rPr>
          <w:color w:val="1F497D" w:themeColor="text2"/>
        </w:rPr>
      </w:pPr>
      <w:r w:rsidRPr="00413A24">
        <w:rPr>
          <w:color w:val="1F497D" w:themeColor="text2"/>
        </w:rPr>
        <w:t xml:space="preserve">Inappropriate detention environments </w:t>
      </w:r>
    </w:p>
    <w:p w:rsidR="001C1253" w:rsidRDefault="001C1253" w:rsidP="00E73A7D">
      <w:pPr>
        <w:numPr>
          <w:ilvl w:val="0"/>
          <w:numId w:val="35"/>
        </w:numPr>
        <w:tabs>
          <w:tab w:val="left" w:pos="1848"/>
          <w:tab w:val="left" w:pos="2773"/>
          <w:tab w:val="left" w:pos="3697"/>
          <w:tab w:val="left" w:pos="4621"/>
          <w:tab w:val="left" w:pos="5545"/>
          <w:tab w:val="left" w:pos="6469"/>
          <w:tab w:val="left" w:pos="7394"/>
          <w:tab w:val="left" w:pos="8318"/>
          <w:tab w:val="right" w:pos="8930"/>
        </w:tabs>
        <w:spacing w:before="120" w:after="120"/>
        <w:ind w:left="426" w:hanging="426"/>
        <w:contextualSpacing/>
        <w:jc w:val="both"/>
        <w:rPr>
          <w:rFonts w:cs="Arial"/>
          <w:color w:val="000000"/>
          <w:sz w:val="24"/>
          <w:szCs w:val="24"/>
        </w:rPr>
      </w:pPr>
      <w:r w:rsidRPr="0054190C">
        <w:rPr>
          <w:rFonts w:eastAsia="Times New Roman" w:cs="Arial"/>
          <w:sz w:val="24"/>
          <w:szCs w:val="24"/>
          <w:lang w:eastAsia="en-AU"/>
        </w:rPr>
        <w:t>Th</w:t>
      </w:r>
      <w:r w:rsidR="00E73A7D">
        <w:rPr>
          <w:rFonts w:eastAsia="Times New Roman" w:cs="Arial"/>
          <w:sz w:val="24"/>
          <w:szCs w:val="24"/>
          <w:lang w:eastAsia="en-AU"/>
        </w:rPr>
        <w:t>e</w:t>
      </w:r>
      <w:r w:rsidRPr="0054190C">
        <w:rPr>
          <w:rFonts w:eastAsia="Times New Roman" w:cs="Arial"/>
          <w:sz w:val="24"/>
          <w:szCs w:val="24"/>
          <w:lang w:eastAsia="en-AU"/>
        </w:rPr>
        <w:t xml:space="preserve"> situation of indefinite detention is exacerbated by a lack of appropriate accommodation, therapeutic, rehabilitation and disability support options available for people with disability who are deemed unfit to stand trial due to cognit</w:t>
      </w:r>
      <w:r>
        <w:rPr>
          <w:rFonts w:eastAsia="Times New Roman" w:cs="Arial"/>
          <w:sz w:val="24"/>
          <w:szCs w:val="24"/>
          <w:lang w:eastAsia="en-AU"/>
        </w:rPr>
        <w:t xml:space="preserve">ive or psychosocial disability; a situation </w:t>
      </w:r>
      <w:r w:rsidRPr="0054190C">
        <w:rPr>
          <w:rFonts w:eastAsia="Times New Roman" w:cs="Arial"/>
          <w:sz w:val="24"/>
          <w:szCs w:val="24"/>
        </w:rPr>
        <w:t>disproportionately experienced by Aboriginal and Torres Strait Islander people with disability.</w:t>
      </w:r>
      <w:r w:rsidRPr="0054190C">
        <w:rPr>
          <w:rStyle w:val="FootnoteReference"/>
          <w:rFonts w:eastAsia="Times New Roman" w:cs="Arial"/>
          <w:sz w:val="24"/>
          <w:szCs w:val="24"/>
        </w:rPr>
        <w:footnoteReference w:id="73"/>
      </w:r>
      <w:r w:rsidRPr="0054190C">
        <w:rPr>
          <w:rFonts w:eastAsia="Times New Roman" w:cs="Arial"/>
          <w:sz w:val="24"/>
          <w:szCs w:val="24"/>
        </w:rPr>
        <w:t xml:space="preserve">  </w:t>
      </w:r>
      <w:r w:rsidRPr="0054190C">
        <w:rPr>
          <w:rFonts w:cs="Arial"/>
          <w:color w:val="000000"/>
          <w:sz w:val="24"/>
          <w:szCs w:val="24"/>
        </w:rPr>
        <w:t xml:space="preserve">An investigation by </w:t>
      </w:r>
      <w:proofErr w:type="spellStart"/>
      <w:r w:rsidRPr="0054190C">
        <w:rPr>
          <w:rFonts w:cs="Arial"/>
          <w:color w:val="000000"/>
          <w:sz w:val="24"/>
          <w:szCs w:val="24"/>
        </w:rPr>
        <w:t>Lateline</w:t>
      </w:r>
      <w:proofErr w:type="spellEnd"/>
      <w:r w:rsidRPr="0054190C">
        <w:rPr>
          <w:rFonts w:cs="Arial"/>
          <w:color w:val="000000"/>
          <w:sz w:val="24"/>
          <w:szCs w:val="24"/>
        </w:rPr>
        <w:t xml:space="preserve"> in 2014 revealed that dozens of Aboriginal and Torres Strait Islander people with disability were being detained in prisons due to a lack of healthcare facilities</w:t>
      </w:r>
      <w:r w:rsidRPr="0054190C">
        <w:rPr>
          <w:rStyle w:val="FootnoteReference"/>
          <w:rFonts w:cs="Arial"/>
          <w:color w:val="000000"/>
          <w:sz w:val="24"/>
          <w:szCs w:val="24"/>
        </w:rPr>
        <w:footnoteReference w:id="74"/>
      </w:r>
      <w:r w:rsidRPr="0054190C">
        <w:rPr>
          <w:rFonts w:cs="Arial"/>
          <w:color w:val="000000"/>
          <w:sz w:val="24"/>
          <w:szCs w:val="24"/>
        </w:rPr>
        <w:t xml:space="preserve">. </w:t>
      </w:r>
    </w:p>
    <w:p w:rsidR="001C1253" w:rsidRDefault="001C1253" w:rsidP="00E73A7D">
      <w:pPr>
        <w:tabs>
          <w:tab w:val="left" w:pos="1848"/>
          <w:tab w:val="left" w:pos="2773"/>
          <w:tab w:val="left" w:pos="3697"/>
          <w:tab w:val="left" w:pos="4621"/>
          <w:tab w:val="left" w:pos="5545"/>
          <w:tab w:val="left" w:pos="6469"/>
          <w:tab w:val="left" w:pos="7394"/>
          <w:tab w:val="left" w:pos="8318"/>
          <w:tab w:val="right" w:pos="8930"/>
        </w:tabs>
        <w:spacing w:before="120" w:after="120"/>
        <w:ind w:left="426" w:hanging="426"/>
        <w:contextualSpacing/>
        <w:jc w:val="both"/>
        <w:rPr>
          <w:rFonts w:cs="Arial"/>
          <w:color w:val="000000"/>
          <w:sz w:val="24"/>
          <w:szCs w:val="24"/>
        </w:rPr>
      </w:pPr>
    </w:p>
    <w:p w:rsidR="001C1253" w:rsidRPr="00770723" w:rsidRDefault="001C1253" w:rsidP="00E73A7D">
      <w:pPr>
        <w:numPr>
          <w:ilvl w:val="0"/>
          <w:numId w:val="35"/>
        </w:numPr>
        <w:tabs>
          <w:tab w:val="left" w:pos="1848"/>
          <w:tab w:val="left" w:pos="2773"/>
          <w:tab w:val="left" w:pos="3697"/>
          <w:tab w:val="left" w:pos="4621"/>
          <w:tab w:val="left" w:pos="5545"/>
          <w:tab w:val="left" w:pos="6469"/>
          <w:tab w:val="left" w:pos="7394"/>
          <w:tab w:val="left" w:pos="8318"/>
          <w:tab w:val="right" w:pos="8930"/>
        </w:tabs>
        <w:spacing w:before="120" w:after="120"/>
        <w:ind w:left="426" w:hanging="426"/>
        <w:contextualSpacing/>
        <w:jc w:val="both"/>
        <w:rPr>
          <w:rFonts w:cs="Arial"/>
          <w:color w:val="000000"/>
          <w:sz w:val="24"/>
          <w:szCs w:val="24"/>
        </w:rPr>
      </w:pPr>
      <w:r w:rsidRPr="00770723">
        <w:rPr>
          <w:rFonts w:cs="Arial"/>
          <w:color w:val="000000"/>
          <w:sz w:val="24"/>
          <w:szCs w:val="24"/>
        </w:rPr>
        <w:t>Some States and Territories, particularly the Northern Territory and Western Australia, do not have adequate facilities to detain or treat people with cognitive impairment and or psychosocial disability resulting in their placement in inappropriate environments which can either hinder their effective treatment or increase their level of suffering while in detention. For example, women with psychosocial disability and intellectual or learning disability are disproportionately classified as high security prisoners and are more likely to be in high security facilities, than other prisoners.</w:t>
      </w:r>
      <w:r w:rsidRPr="0054190C">
        <w:rPr>
          <w:rFonts w:cs="Arial"/>
          <w:color w:val="000000"/>
          <w:sz w:val="24"/>
          <w:szCs w:val="24"/>
          <w:vertAlign w:val="superscript"/>
        </w:rPr>
        <w:footnoteReference w:id="75"/>
      </w:r>
      <w:r w:rsidRPr="00770723">
        <w:rPr>
          <w:rFonts w:cs="Arial"/>
          <w:color w:val="000000"/>
          <w:sz w:val="24"/>
          <w:szCs w:val="24"/>
        </w:rPr>
        <w:t xml:space="preserve">  Inadequate services and facilities can also lead to people rotating between criminal justice and disability service institutions as neither are equipped to accommodate</w:t>
      </w:r>
      <w:r w:rsidR="00F01B40">
        <w:rPr>
          <w:rFonts w:cs="Arial"/>
          <w:color w:val="000000"/>
          <w:sz w:val="24"/>
          <w:szCs w:val="24"/>
        </w:rPr>
        <w:t>, support</w:t>
      </w:r>
      <w:r w:rsidRPr="00770723">
        <w:rPr>
          <w:rFonts w:cs="Arial"/>
          <w:color w:val="000000"/>
          <w:sz w:val="24"/>
          <w:szCs w:val="24"/>
        </w:rPr>
        <w:t xml:space="preserve"> and</w:t>
      </w:r>
      <w:r w:rsidR="00F01B40">
        <w:rPr>
          <w:rFonts w:cs="Arial"/>
          <w:color w:val="000000"/>
          <w:sz w:val="24"/>
          <w:szCs w:val="24"/>
        </w:rPr>
        <w:t xml:space="preserve"> / or provide</w:t>
      </w:r>
      <w:r w:rsidRPr="00770723">
        <w:rPr>
          <w:rFonts w:cs="Arial"/>
          <w:color w:val="000000"/>
          <w:sz w:val="24"/>
          <w:szCs w:val="24"/>
        </w:rPr>
        <w:t xml:space="preserve"> treat</w:t>
      </w:r>
      <w:r w:rsidR="00F01B40">
        <w:rPr>
          <w:rFonts w:cs="Arial"/>
          <w:color w:val="000000"/>
          <w:sz w:val="24"/>
          <w:szCs w:val="24"/>
        </w:rPr>
        <w:t>ment to</w:t>
      </w:r>
      <w:r w:rsidRPr="00770723">
        <w:rPr>
          <w:rFonts w:cs="Arial"/>
          <w:color w:val="000000"/>
          <w:sz w:val="24"/>
          <w:szCs w:val="24"/>
        </w:rPr>
        <w:t xml:space="preserve"> the person, which in some instances </w:t>
      </w:r>
      <w:r w:rsidR="00F01B40">
        <w:rPr>
          <w:rFonts w:cs="Arial"/>
          <w:color w:val="000000"/>
          <w:sz w:val="24"/>
          <w:szCs w:val="24"/>
        </w:rPr>
        <w:t>leads to</w:t>
      </w:r>
      <w:r w:rsidRPr="00770723">
        <w:rPr>
          <w:rFonts w:cs="Arial"/>
          <w:color w:val="000000"/>
          <w:sz w:val="24"/>
          <w:szCs w:val="24"/>
        </w:rPr>
        <w:t xml:space="preserve"> indefinite detention. </w:t>
      </w:r>
    </w:p>
    <w:p w:rsidR="001C1253" w:rsidRPr="0054190C" w:rsidRDefault="001C1253" w:rsidP="001C1253">
      <w:pPr>
        <w:tabs>
          <w:tab w:val="left" w:pos="1848"/>
          <w:tab w:val="left" w:pos="2773"/>
          <w:tab w:val="left" w:pos="3697"/>
          <w:tab w:val="left" w:pos="4621"/>
          <w:tab w:val="left" w:pos="5545"/>
          <w:tab w:val="left" w:pos="6469"/>
          <w:tab w:val="left" w:pos="7394"/>
          <w:tab w:val="left" w:pos="8318"/>
          <w:tab w:val="right" w:pos="8930"/>
        </w:tabs>
        <w:spacing w:before="120" w:after="120"/>
        <w:ind w:left="426"/>
        <w:contextualSpacing/>
        <w:jc w:val="both"/>
        <w:rPr>
          <w:rFonts w:cs="Arial"/>
          <w:color w:val="000000"/>
          <w:sz w:val="24"/>
          <w:szCs w:val="24"/>
        </w:rPr>
      </w:pPr>
    </w:p>
    <w:p w:rsidR="001C1253" w:rsidRPr="00A25E3B" w:rsidRDefault="001C1253" w:rsidP="001C125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26"/>
        <w:contextualSpacing/>
        <w:jc w:val="both"/>
        <w:rPr>
          <w:rFonts w:cs="Arial"/>
          <w:b/>
          <w:i/>
          <w:sz w:val="24"/>
          <w:szCs w:val="24"/>
        </w:rPr>
      </w:pPr>
      <w:r w:rsidRPr="00A25E3B">
        <w:rPr>
          <w:rFonts w:cs="Arial"/>
          <w:b/>
          <w:i/>
          <w:sz w:val="24"/>
          <w:szCs w:val="24"/>
        </w:rPr>
        <w:t xml:space="preserve">Case Study: Ms F is a young aboriginal woman with intellectual disability, foetal alcohol syndrome and a significant history of trauma including repeated physical and sexual abuse </w:t>
      </w:r>
      <w:r w:rsidRPr="00A25E3B">
        <w:rPr>
          <w:rFonts w:cs="Arial"/>
          <w:b/>
          <w:i/>
          <w:sz w:val="24"/>
          <w:szCs w:val="24"/>
        </w:rPr>
        <w:lastRenderedPageBreak/>
        <w:t>from childhood. In 2012 she was indefinitely detained in a WA prison for 18 months when she was found unfit to plead to minor assault and damages charges.  In 2014 she was moved into community housing in the Northern Territory in order to receive treatment but this arrangement proved unsustainable.  Despite considerable advocacy on her behalf from her guardian and disability advocates</w:t>
      </w:r>
      <w:r w:rsidR="00F01B40">
        <w:rPr>
          <w:rFonts w:cs="Arial"/>
          <w:b/>
          <w:i/>
          <w:sz w:val="24"/>
          <w:szCs w:val="24"/>
        </w:rPr>
        <w:t>,</w:t>
      </w:r>
      <w:r w:rsidRPr="00A25E3B">
        <w:rPr>
          <w:rFonts w:cs="Arial"/>
          <w:b/>
          <w:i/>
          <w:sz w:val="24"/>
          <w:szCs w:val="24"/>
        </w:rPr>
        <w:t xml:space="preserve"> Ms F remains in a cycle of being detained as unfit to plead on minor criminal charges, transitioning through failed treatment programs</w:t>
      </w:r>
      <w:r w:rsidR="00413A24">
        <w:rPr>
          <w:rFonts w:cs="Arial"/>
          <w:b/>
          <w:i/>
          <w:sz w:val="24"/>
          <w:szCs w:val="24"/>
        </w:rPr>
        <w:t>, supported accommodation</w:t>
      </w:r>
      <w:r w:rsidRPr="00A25E3B">
        <w:rPr>
          <w:rFonts w:cs="Arial"/>
          <w:b/>
          <w:i/>
          <w:sz w:val="24"/>
          <w:szCs w:val="24"/>
        </w:rPr>
        <w:t xml:space="preserve"> and disabilit</w:t>
      </w:r>
      <w:r w:rsidR="00F01B40">
        <w:rPr>
          <w:rFonts w:cs="Arial"/>
          <w:b/>
          <w:i/>
          <w:sz w:val="24"/>
          <w:szCs w:val="24"/>
        </w:rPr>
        <w:t xml:space="preserve">y support. </w:t>
      </w:r>
      <w:r w:rsidRPr="00A25E3B">
        <w:rPr>
          <w:rFonts w:cs="Arial"/>
          <w:b/>
          <w:i/>
          <w:sz w:val="24"/>
          <w:szCs w:val="24"/>
        </w:rPr>
        <w:t xml:space="preserve"> </w:t>
      </w:r>
    </w:p>
    <w:p w:rsidR="001C1253" w:rsidRPr="00F236C7" w:rsidRDefault="001C1253" w:rsidP="00413A24">
      <w:pPr>
        <w:pStyle w:val="Heading1"/>
        <w:numPr>
          <w:ilvl w:val="0"/>
          <w:numId w:val="38"/>
        </w:numPr>
        <w:spacing w:before="240" w:after="120" w:line="259" w:lineRule="auto"/>
        <w:ind w:left="425" w:hanging="425"/>
        <w:rPr>
          <w:rFonts w:ascii="Arial" w:hAnsi="Arial" w:cs="Arial"/>
          <w:color w:val="1F497D" w:themeColor="text2"/>
        </w:rPr>
      </w:pPr>
      <w:r w:rsidRPr="00F236C7">
        <w:rPr>
          <w:rFonts w:ascii="Arial" w:hAnsi="Arial" w:cs="Arial"/>
          <w:color w:val="1F497D" w:themeColor="text2"/>
        </w:rPr>
        <w:t xml:space="preserve">Reforms Required </w:t>
      </w:r>
    </w:p>
    <w:p w:rsidR="001C1253" w:rsidRPr="007F11F0" w:rsidRDefault="00AD3CAB" w:rsidP="007F11F0">
      <w:pPr>
        <w:pStyle w:val="ListParagraph"/>
        <w:numPr>
          <w:ilvl w:val="0"/>
          <w:numId w:val="35"/>
        </w:numPr>
        <w:spacing w:after="0" w:line="240" w:lineRule="auto"/>
        <w:ind w:left="426" w:hanging="426"/>
        <w:jc w:val="both"/>
        <w:rPr>
          <w:rFonts w:eastAsia="Times New Roman" w:cs="Arial"/>
          <w:sz w:val="24"/>
          <w:szCs w:val="24"/>
        </w:rPr>
      </w:pPr>
      <w:r>
        <w:rPr>
          <w:color w:val="000000"/>
          <w:sz w:val="24"/>
          <w:szCs w:val="24"/>
        </w:rPr>
        <w:t>The indefinite detention of p</w:t>
      </w:r>
      <w:r w:rsidR="001C1253" w:rsidRPr="0054190C">
        <w:rPr>
          <w:color w:val="000000"/>
          <w:sz w:val="24"/>
          <w:szCs w:val="24"/>
        </w:rPr>
        <w:t xml:space="preserve">eople with disability in </w:t>
      </w:r>
      <w:r>
        <w:rPr>
          <w:color w:val="000000"/>
          <w:sz w:val="24"/>
          <w:szCs w:val="24"/>
        </w:rPr>
        <w:t xml:space="preserve">prisons, mental health facilities and immigration detention facilities warrants broad ranging legislative, policy and program </w:t>
      </w:r>
      <w:r w:rsidR="003B5C28">
        <w:rPr>
          <w:color w:val="000000"/>
          <w:sz w:val="24"/>
          <w:szCs w:val="24"/>
        </w:rPr>
        <w:t xml:space="preserve">reform that brings Australia into compliance with its international human rights obligations.  </w:t>
      </w:r>
    </w:p>
    <w:p w:rsidR="001C1253" w:rsidRPr="00773E13" w:rsidRDefault="001C1253" w:rsidP="007F11F0">
      <w:pPr>
        <w:pStyle w:val="Heading2"/>
        <w:spacing w:after="200"/>
        <w:ind w:firstLine="425"/>
        <w:rPr>
          <w:color w:val="1F497D" w:themeColor="text2"/>
        </w:rPr>
      </w:pPr>
      <w:r w:rsidRPr="00773E13">
        <w:rPr>
          <w:color w:val="1F497D" w:themeColor="text2"/>
        </w:rPr>
        <w:t xml:space="preserve">Recognition of legal capacity </w:t>
      </w:r>
    </w:p>
    <w:p w:rsidR="001C1253" w:rsidRPr="0054190C" w:rsidRDefault="001C1253" w:rsidP="001C1253">
      <w:pPr>
        <w:pStyle w:val="ListParagraph"/>
        <w:numPr>
          <w:ilvl w:val="0"/>
          <w:numId w:val="35"/>
        </w:numPr>
        <w:spacing w:after="160" w:line="259" w:lineRule="auto"/>
        <w:ind w:left="426" w:hanging="426"/>
        <w:rPr>
          <w:sz w:val="24"/>
          <w:szCs w:val="24"/>
        </w:rPr>
      </w:pPr>
      <w:r w:rsidRPr="0054190C">
        <w:rPr>
          <w:rFonts w:cs="Arial"/>
          <w:sz w:val="24"/>
          <w:szCs w:val="24"/>
        </w:rPr>
        <w:t xml:space="preserve">The deprivation of legal capacity for people with disability is not only a </w:t>
      </w:r>
      <w:r w:rsidR="007F11F0">
        <w:rPr>
          <w:rFonts w:cs="Arial"/>
          <w:sz w:val="24"/>
          <w:szCs w:val="24"/>
        </w:rPr>
        <w:t xml:space="preserve">breach of </w:t>
      </w:r>
      <w:r w:rsidRPr="0054190C">
        <w:rPr>
          <w:rFonts w:cs="Arial"/>
          <w:sz w:val="24"/>
          <w:szCs w:val="24"/>
        </w:rPr>
        <w:t>that particular right.  It leads to further actual and potential breaches of rights such as the right to live in the community, the right to access justice, the right to be free from violence and abuse, torture, inhuman and degrading treatment, the right to physical and mental integrity, and the right to liberty.  Reforms to the legal framework regarding legal capacity should aim to reduce and limit the potential for these further rights violations to occur.</w:t>
      </w:r>
      <w:r>
        <w:rPr>
          <w:rFonts w:cs="Arial"/>
          <w:sz w:val="24"/>
          <w:szCs w:val="24"/>
        </w:rPr>
        <w:t xml:space="preserve"> </w:t>
      </w:r>
      <w:r w:rsidRPr="0054190C">
        <w:rPr>
          <w:rFonts w:cs="Arial"/>
          <w:sz w:val="24"/>
          <w:szCs w:val="24"/>
        </w:rPr>
        <w:t>Supporting</w:t>
      </w:r>
      <w:r w:rsidR="00FE42C2">
        <w:rPr>
          <w:rFonts w:cs="Arial"/>
          <w:sz w:val="24"/>
          <w:szCs w:val="24"/>
        </w:rPr>
        <w:t>,</w:t>
      </w:r>
      <w:r w:rsidRPr="0054190C">
        <w:rPr>
          <w:rFonts w:cs="Arial"/>
          <w:sz w:val="24"/>
          <w:szCs w:val="24"/>
        </w:rPr>
        <w:t xml:space="preserve"> as opposed to limiting the exercise of legal capacity by people with disability </w:t>
      </w:r>
      <w:r w:rsidR="00FE42C2">
        <w:rPr>
          <w:rFonts w:cs="Arial"/>
          <w:sz w:val="24"/>
          <w:szCs w:val="24"/>
        </w:rPr>
        <w:t>in order for them to e</w:t>
      </w:r>
      <w:r w:rsidRPr="0054190C">
        <w:rPr>
          <w:rFonts w:cs="Arial"/>
          <w:sz w:val="24"/>
          <w:szCs w:val="24"/>
        </w:rPr>
        <w:t xml:space="preserve">xercise control over decisions that affect their lives is the most significant step required in ending this cycle of discrimination and abuse.  </w:t>
      </w:r>
      <w:r>
        <w:rPr>
          <w:rFonts w:cs="Arial"/>
          <w:sz w:val="24"/>
          <w:szCs w:val="24"/>
        </w:rPr>
        <w:t>The National Decision Making Principles outlined in the recent Australian Law Reform Commission (ALRC) Report</w:t>
      </w:r>
      <w:r w:rsidR="00FE42C2">
        <w:rPr>
          <w:rFonts w:cs="Arial"/>
          <w:sz w:val="24"/>
          <w:szCs w:val="24"/>
        </w:rPr>
        <w:t>,</w:t>
      </w:r>
      <w:r>
        <w:rPr>
          <w:rFonts w:cs="Arial"/>
          <w:sz w:val="24"/>
          <w:szCs w:val="24"/>
        </w:rPr>
        <w:t xml:space="preserve"> </w:t>
      </w:r>
      <w:r w:rsidRPr="00FE42C2">
        <w:rPr>
          <w:rFonts w:cs="Arial"/>
          <w:i/>
          <w:sz w:val="24"/>
          <w:szCs w:val="24"/>
        </w:rPr>
        <w:t>Equality, Capacity and Disability</w:t>
      </w:r>
      <w:r>
        <w:rPr>
          <w:rStyle w:val="FootnoteReference"/>
          <w:rFonts w:cs="Arial"/>
          <w:sz w:val="24"/>
          <w:szCs w:val="24"/>
        </w:rPr>
        <w:footnoteReference w:id="76"/>
      </w:r>
      <w:r>
        <w:rPr>
          <w:rFonts w:cs="Arial"/>
          <w:sz w:val="24"/>
          <w:szCs w:val="24"/>
        </w:rPr>
        <w:t xml:space="preserve"> </w:t>
      </w:r>
      <w:r w:rsidR="00FE42C2">
        <w:rPr>
          <w:rFonts w:cs="Arial"/>
          <w:sz w:val="24"/>
          <w:szCs w:val="24"/>
        </w:rPr>
        <w:t>would form the bas</w:t>
      </w:r>
      <w:r w:rsidR="00464170">
        <w:rPr>
          <w:rFonts w:cs="Arial"/>
          <w:sz w:val="24"/>
          <w:szCs w:val="24"/>
        </w:rPr>
        <w:t>is for reform in this area, and provide impetus for State and Territory reform.</w:t>
      </w:r>
      <w:r>
        <w:rPr>
          <w:rFonts w:cs="Arial"/>
          <w:sz w:val="24"/>
          <w:szCs w:val="24"/>
        </w:rPr>
        <w:t xml:space="preserve"> </w:t>
      </w:r>
    </w:p>
    <w:p w:rsidR="001C1253" w:rsidRPr="0054190C" w:rsidRDefault="001C1253" w:rsidP="001C1253">
      <w:pPr>
        <w:pStyle w:val="ListParagraph"/>
        <w:ind w:left="426"/>
        <w:rPr>
          <w:sz w:val="24"/>
          <w:szCs w:val="24"/>
        </w:rPr>
      </w:pPr>
    </w:p>
    <w:p w:rsidR="001C1253" w:rsidRPr="0054190C" w:rsidRDefault="001C1253" w:rsidP="00464170">
      <w:pPr>
        <w:pStyle w:val="ListParagraph"/>
        <w:numPr>
          <w:ilvl w:val="0"/>
          <w:numId w:val="35"/>
        </w:numPr>
        <w:spacing w:after="120" w:line="259" w:lineRule="auto"/>
        <w:ind w:left="425" w:hanging="425"/>
        <w:contextualSpacing w:val="0"/>
        <w:rPr>
          <w:sz w:val="24"/>
          <w:szCs w:val="24"/>
        </w:rPr>
      </w:pPr>
      <w:r w:rsidRPr="0054190C">
        <w:rPr>
          <w:sz w:val="24"/>
          <w:szCs w:val="24"/>
        </w:rPr>
        <w:t>Full recognition of the legal capacity of people with cognitive impairment and/or psychosocial disability in Commonwealth, state and territory laws is necessary in order to reform discriminatory processes that can lead to indefinite detention such as unfitness to plead, mental impairment, guardianship and mental health laws. Article 12 of the CRPD confirms the following:</w:t>
      </w:r>
    </w:p>
    <w:p w:rsidR="001C1253" w:rsidRPr="0054190C" w:rsidRDefault="001C1253" w:rsidP="001C1253">
      <w:pPr>
        <w:numPr>
          <w:ilvl w:val="0"/>
          <w:numId w:val="37"/>
        </w:numPr>
        <w:spacing w:after="0"/>
        <w:jc w:val="both"/>
        <w:rPr>
          <w:rFonts w:cs="Arial"/>
          <w:sz w:val="24"/>
          <w:szCs w:val="24"/>
        </w:rPr>
      </w:pPr>
      <w:r w:rsidRPr="0054190C">
        <w:rPr>
          <w:rFonts w:cs="Arial"/>
          <w:sz w:val="24"/>
          <w:szCs w:val="24"/>
        </w:rPr>
        <w:t>Every person has the right to equal recognition before the law.  This includes the capacity to have rights and the capacity to act on those rights (to exercise legal agency) as well as to have those acts recognised by the law.</w:t>
      </w:r>
    </w:p>
    <w:p w:rsidR="001C1253" w:rsidRPr="0054190C" w:rsidRDefault="001C1253" w:rsidP="001C1253">
      <w:pPr>
        <w:numPr>
          <w:ilvl w:val="0"/>
          <w:numId w:val="37"/>
        </w:numPr>
        <w:spacing w:after="0"/>
        <w:jc w:val="both"/>
        <w:rPr>
          <w:rFonts w:cs="Arial"/>
          <w:sz w:val="24"/>
          <w:szCs w:val="24"/>
        </w:rPr>
      </w:pPr>
      <w:r w:rsidRPr="0054190C">
        <w:rPr>
          <w:rFonts w:cs="Arial"/>
          <w:sz w:val="24"/>
          <w:szCs w:val="24"/>
        </w:rPr>
        <w:t>This is a non-</w:t>
      </w:r>
      <w:proofErr w:type="spellStart"/>
      <w:r w:rsidRPr="0054190C">
        <w:rPr>
          <w:rFonts w:cs="Arial"/>
          <w:sz w:val="24"/>
          <w:szCs w:val="24"/>
        </w:rPr>
        <w:t>derogable</w:t>
      </w:r>
      <w:proofErr w:type="spellEnd"/>
      <w:r w:rsidRPr="0054190C">
        <w:rPr>
          <w:rFonts w:cs="Arial"/>
          <w:sz w:val="24"/>
          <w:szCs w:val="24"/>
        </w:rPr>
        <w:t xml:space="preserve"> civil and political right requiring immediate implementation.</w:t>
      </w:r>
      <w:r w:rsidRPr="0054190C">
        <w:rPr>
          <w:rFonts w:cs="Arial"/>
          <w:sz w:val="24"/>
          <w:szCs w:val="24"/>
          <w:vertAlign w:val="superscript"/>
        </w:rPr>
        <w:footnoteReference w:id="77"/>
      </w:r>
    </w:p>
    <w:p w:rsidR="001C1253" w:rsidRPr="0054190C" w:rsidRDefault="001C1253" w:rsidP="001C1253">
      <w:pPr>
        <w:numPr>
          <w:ilvl w:val="0"/>
          <w:numId w:val="37"/>
        </w:numPr>
        <w:spacing w:after="0"/>
        <w:jc w:val="both"/>
        <w:rPr>
          <w:rFonts w:cs="Arial"/>
          <w:sz w:val="24"/>
          <w:szCs w:val="24"/>
        </w:rPr>
      </w:pPr>
      <w:r w:rsidRPr="0054190C">
        <w:rPr>
          <w:rFonts w:cs="Arial"/>
          <w:sz w:val="24"/>
          <w:szCs w:val="24"/>
        </w:rPr>
        <w:t>Legal agency is exercised when will and preference is expressed.</w:t>
      </w:r>
    </w:p>
    <w:p w:rsidR="001C1253" w:rsidRPr="0054190C" w:rsidRDefault="001C1253" w:rsidP="001C1253">
      <w:pPr>
        <w:numPr>
          <w:ilvl w:val="0"/>
          <w:numId w:val="37"/>
        </w:numPr>
        <w:spacing w:after="0"/>
        <w:jc w:val="both"/>
        <w:rPr>
          <w:rFonts w:cs="Arial"/>
          <w:sz w:val="24"/>
          <w:szCs w:val="24"/>
        </w:rPr>
      </w:pPr>
      <w:r w:rsidRPr="0054190C">
        <w:rPr>
          <w:rFonts w:cs="Arial"/>
          <w:sz w:val="24"/>
          <w:szCs w:val="24"/>
        </w:rPr>
        <w:lastRenderedPageBreak/>
        <w:t xml:space="preserve">Every person has the right to support to express their will and preference if required.  For some people this may include decision making support. </w:t>
      </w:r>
    </w:p>
    <w:p w:rsidR="001C1253" w:rsidRPr="0054190C" w:rsidRDefault="001C1253" w:rsidP="001C1253">
      <w:pPr>
        <w:numPr>
          <w:ilvl w:val="0"/>
          <w:numId w:val="37"/>
        </w:numPr>
        <w:spacing w:after="0"/>
        <w:jc w:val="both"/>
        <w:rPr>
          <w:rFonts w:cs="Arial"/>
          <w:sz w:val="24"/>
          <w:szCs w:val="24"/>
        </w:rPr>
      </w:pPr>
      <w:r w:rsidRPr="0054190C">
        <w:rPr>
          <w:rFonts w:cs="Arial"/>
          <w:sz w:val="24"/>
          <w:szCs w:val="24"/>
        </w:rPr>
        <w:t>The State is obliged to provide the support necessary for a person to express their will and preference.  As equality before the law is a civil and political right there is no limit to the level of support that must be provided to achieve this.</w:t>
      </w:r>
    </w:p>
    <w:p w:rsidR="001C1253" w:rsidRPr="0054190C" w:rsidRDefault="001C1253" w:rsidP="001C1253">
      <w:pPr>
        <w:numPr>
          <w:ilvl w:val="0"/>
          <w:numId w:val="37"/>
        </w:numPr>
        <w:spacing w:after="0"/>
        <w:jc w:val="both"/>
        <w:rPr>
          <w:rFonts w:cs="Arial"/>
          <w:sz w:val="24"/>
          <w:szCs w:val="24"/>
        </w:rPr>
      </w:pPr>
      <w:r w:rsidRPr="0054190C">
        <w:rPr>
          <w:rFonts w:cs="Arial"/>
          <w:sz w:val="24"/>
          <w:szCs w:val="24"/>
        </w:rPr>
        <w:t xml:space="preserve">Failure to provide adequate support, including the inadequate resourcing of support options, may constitute discrimination. </w:t>
      </w:r>
    </w:p>
    <w:p w:rsidR="001C1253" w:rsidRPr="0054190C" w:rsidRDefault="001C1253" w:rsidP="001C1253">
      <w:pPr>
        <w:numPr>
          <w:ilvl w:val="0"/>
          <w:numId w:val="37"/>
        </w:numPr>
        <w:spacing w:after="0"/>
        <w:jc w:val="both"/>
        <w:rPr>
          <w:rFonts w:cs="Arial"/>
          <w:sz w:val="24"/>
          <w:szCs w:val="24"/>
        </w:rPr>
      </w:pPr>
      <w:r w:rsidRPr="0054190C">
        <w:rPr>
          <w:rFonts w:cs="Arial"/>
          <w:sz w:val="24"/>
          <w:szCs w:val="24"/>
        </w:rPr>
        <w:t xml:space="preserve">Where there is </w:t>
      </w:r>
      <w:r w:rsidRPr="0054190C">
        <w:rPr>
          <w:rFonts w:cs="Arial"/>
          <w:i/>
          <w:sz w:val="24"/>
          <w:szCs w:val="24"/>
        </w:rPr>
        <w:t>no formulation of support</w:t>
      </w:r>
      <w:r w:rsidRPr="0054190C">
        <w:rPr>
          <w:rFonts w:cs="Arial"/>
          <w:sz w:val="24"/>
          <w:szCs w:val="24"/>
        </w:rPr>
        <w:t xml:space="preserve"> that can determine will and preferences then legal agency is not being exercised.  In this circumstance a Representative may be appointed to make decisions based on the previously expressed will and preference of the person and/or their human rights as applicable to the situation.</w:t>
      </w:r>
      <w:r w:rsidRPr="00E70234">
        <w:rPr>
          <w:rStyle w:val="FootnoteReference"/>
          <w:sz w:val="24"/>
          <w:szCs w:val="24"/>
        </w:rPr>
        <w:t xml:space="preserve"> </w:t>
      </w:r>
      <w:r w:rsidRPr="0054190C">
        <w:rPr>
          <w:rStyle w:val="FootnoteReference"/>
          <w:sz w:val="24"/>
          <w:szCs w:val="24"/>
        </w:rPr>
        <w:footnoteReference w:id="78"/>
      </w:r>
    </w:p>
    <w:p w:rsidR="001C1253" w:rsidRPr="0054190C" w:rsidRDefault="001C1253" w:rsidP="001C1253">
      <w:pPr>
        <w:spacing w:after="0"/>
        <w:jc w:val="both"/>
        <w:rPr>
          <w:rFonts w:cs="Arial"/>
          <w:sz w:val="24"/>
          <w:szCs w:val="24"/>
        </w:rPr>
      </w:pPr>
    </w:p>
    <w:p w:rsidR="001C1253" w:rsidRDefault="001C1253" w:rsidP="001C1253">
      <w:pPr>
        <w:pStyle w:val="ListParagraph"/>
        <w:numPr>
          <w:ilvl w:val="0"/>
          <w:numId w:val="35"/>
        </w:numPr>
        <w:spacing w:after="0"/>
        <w:ind w:left="426" w:hanging="426"/>
        <w:jc w:val="both"/>
        <w:rPr>
          <w:rFonts w:cs="Arial"/>
          <w:sz w:val="24"/>
          <w:szCs w:val="24"/>
        </w:rPr>
      </w:pPr>
      <w:r w:rsidRPr="0054190C">
        <w:rPr>
          <w:rFonts w:cs="Arial"/>
          <w:sz w:val="24"/>
          <w:szCs w:val="24"/>
        </w:rPr>
        <w:t xml:space="preserve">To summarise, the onus is on the support to facilitate the expression of a person’s will and preference and hence their legal agency.  Any test of a person’s ability to exercise their legal agency is actually a test of whether the supports provided to the person are adequate and appropriate to the task in hand. If not they should be altered </w:t>
      </w:r>
      <w:r w:rsidR="009F14FF">
        <w:rPr>
          <w:rFonts w:cs="Arial"/>
          <w:sz w:val="24"/>
          <w:szCs w:val="24"/>
        </w:rPr>
        <w:t xml:space="preserve">and / or increased </w:t>
      </w:r>
      <w:r w:rsidRPr="0054190C">
        <w:rPr>
          <w:rFonts w:cs="Arial"/>
          <w:sz w:val="24"/>
          <w:szCs w:val="24"/>
        </w:rPr>
        <w:t xml:space="preserve">until will and preference can be expressed, or it becomes apparent that this is not possible.  The CRPD does not provide for a circumstance whereby a person is tested on their ability or impairment type. </w:t>
      </w:r>
    </w:p>
    <w:p w:rsidR="001C1253" w:rsidRDefault="001C1253" w:rsidP="001C1253">
      <w:pPr>
        <w:pStyle w:val="ListParagraph"/>
        <w:spacing w:after="0"/>
        <w:ind w:left="426"/>
        <w:jc w:val="both"/>
        <w:rPr>
          <w:rFonts w:cs="Arial"/>
          <w:sz w:val="24"/>
          <w:szCs w:val="24"/>
        </w:rPr>
      </w:pPr>
    </w:p>
    <w:p w:rsidR="001C1253" w:rsidRPr="00D518D5" w:rsidRDefault="001C1253" w:rsidP="001C1253">
      <w:pPr>
        <w:pStyle w:val="ListParagraph"/>
        <w:numPr>
          <w:ilvl w:val="0"/>
          <w:numId w:val="35"/>
        </w:numPr>
        <w:spacing w:after="0"/>
        <w:ind w:left="426" w:hanging="426"/>
        <w:jc w:val="both"/>
        <w:rPr>
          <w:rFonts w:cs="Arial"/>
          <w:sz w:val="24"/>
          <w:szCs w:val="24"/>
        </w:rPr>
      </w:pPr>
      <w:r w:rsidRPr="00D518D5">
        <w:rPr>
          <w:rFonts w:cs="Arial"/>
          <w:sz w:val="24"/>
          <w:szCs w:val="24"/>
          <w:bdr w:val="none" w:sz="0" w:space="0" w:color="auto" w:frame="1"/>
        </w:rPr>
        <w:t xml:space="preserve">In general, the law does not provide for people (with or without disability) to consent to practices which may cause them physical or psychological harm or deprive them of their liberty.  It follows that a person cannot consent to their deprivation of liberty or the application of harmful restrictive practices through a supported decision making mechanism, </w:t>
      </w:r>
      <w:r w:rsidR="005E1EDE">
        <w:rPr>
          <w:rFonts w:cs="Arial"/>
          <w:sz w:val="24"/>
          <w:szCs w:val="24"/>
          <w:bdr w:val="none" w:sz="0" w:space="0" w:color="auto" w:frame="1"/>
        </w:rPr>
        <w:t>and</w:t>
      </w:r>
      <w:r w:rsidRPr="00D518D5">
        <w:rPr>
          <w:rFonts w:cs="Arial"/>
          <w:sz w:val="24"/>
          <w:szCs w:val="24"/>
          <w:bdr w:val="none" w:sz="0" w:space="0" w:color="auto" w:frame="1"/>
        </w:rPr>
        <w:t xml:space="preserve"> a Representative c</w:t>
      </w:r>
      <w:r w:rsidR="000B118F">
        <w:rPr>
          <w:rFonts w:cs="Arial"/>
          <w:sz w:val="24"/>
          <w:szCs w:val="24"/>
          <w:bdr w:val="none" w:sz="0" w:space="0" w:color="auto" w:frame="1"/>
        </w:rPr>
        <w:t xml:space="preserve">annot </w:t>
      </w:r>
      <w:r w:rsidRPr="00D518D5">
        <w:rPr>
          <w:rFonts w:cs="Arial"/>
          <w:sz w:val="24"/>
          <w:szCs w:val="24"/>
          <w:bdr w:val="none" w:sz="0" w:space="0" w:color="auto" w:frame="1"/>
        </w:rPr>
        <w:t>discern that this was the person</w:t>
      </w:r>
      <w:r w:rsidR="000B118F">
        <w:rPr>
          <w:rFonts w:cs="Arial"/>
          <w:sz w:val="24"/>
          <w:szCs w:val="24"/>
          <w:bdr w:val="none" w:sz="0" w:space="0" w:color="auto" w:frame="1"/>
        </w:rPr>
        <w:t>’</w:t>
      </w:r>
      <w:r w:rsidR="005E1EDE">
        <w:rPr>
          <w:rFonts w:cs="Arial"/>
          <w:sz w:val="24"/>
          <w:szCs w:val="24"/>
          <w:bdr w:val="none" w:sz="0" w:space="0" w:color="auto" w:frame="1"/>
        </w:rPr>
        <w:t xml:space="preserve">s will and preference </w:t>
      </w:r>
      <w:r w:rsidRPr="00D518D5">
        <w:rPr>
          <w:rFonts w:cs="Arial"/>
          <w:sz w:val="24"/>
          <w:szCs w:val="24"/>
          <w:bdr w:val="none" w:sz="0" w:space="0" w:color="auto" w:frame="1"/>
        </w:rPr>
        <w:t xml:space="preserve">or permit practices that are considered to be violations of </w:t>
      </w:r>
      <w:r>
        <w:rPr>
          <w:rFonts w:cs="Arial"/>
          <w:sz w:val="24"/>
          <w:szCs w:val="24"/>
          <w:bdr w:val="none" w:sz="0" w:space="0" w:color="auto" w:frame="1"/>
        </w:rPr>
        <w:t xml:space="preserve">human </w:t>
      </w:r>
      <w:r w:rsidRPr="00D518D5">
        <w:rPr>
          <w:rFonts w:cs="Arial"/>
          <w:sz w:val="24"/>
          <w:szCs w:val="24"/>
          <w:bdr w:val="none" w:sz="0" w:space="0" w:color="auto" w:frame="1"/>
        </w:rPr>
        <w:t>rights.</w:t>
      </w:r>
    </w:p>
    <w:p w:rsidR="001C1253" w:rsidRPr="00D518D5" w:rsidRDefault="001C1253" w:rsidP="001C1253">
      <w:pPr>
        <w:spacing w:after="0"/>
        <w:jc w:val="both"/>
        <w:rPr>
          <w:rFonts w:cs="Arial"/>
          <w:sz w:val="24"/>
          <w:szCs w:val="24"/>
        </w:rPr>
      </w:pPr>
    </w:p>
    <w:p w:rsidR="001C1253" w:rsidRPr="00D518D5" w:rsidRDefault="001C1253" w:rsidP="001C1253">
      <w:pPr>
        <w:pStyle w:val="ListParagraph"/>
        <w:numPr>
          <w:ilvl w:val="0"/>
          <w:numId w:val="35"/>
        </w:numPr>
        <w:spacing w:after="0"/>
        <w:ind w:left="426" w:hanging="426"/>
        <w:jc w:val="both"/>
        <w:rPr>
          <w:rFonts w:cs="Arial"/>
          <w:sz w:val="24"/>
          <w:szCs w:val="24"/>
        </w:rPr>
      </w:pPr>
      <w:r w:rsidRPr="0054190C">
        <w:rPr>
          <w:rFonts w:cs="Arial"/>
          <w:sz w:val="24"/>
          <w:szCs w:val="24"/>
        </w:rPr>
        <w:t>Regarding unfitness to plead legislation</w:t>
      </w:r>
      <w:r w:rsidRPr="009F14FF">
        <w:rPr>
          <w:rStyle w:val="FootnoteReference"/>
          <w:rFonts w:cs="Arial"/>
          <w:b/>
          <w:sz w:val="24"/>
          <w:szCs w:val="24"/>
        </w:rPr>
        <w:footnoteReference w:id="79"/>
      </w:r>
      <w:r w:rsidRPr="009F14FF">
        <w:rPr>
          <w:rStyle w:val="Strong"/>
          <w:rFonts w:cs="Arial"/>
          <w:b w:val="0"/>
          <w:sz w:val="24"/>
          <w:szCs w:val="24"/>
        </w:rPr>
        <w:t xml:space="preserve">, Commonwealth, state and territory legislation should be amended to provide </w:t>
      </w:r>
      <w:r w:rsidRPr="009F14FF">
        <w:rPr>
          <w:rFonts w:cs="Arial"/>
          <w:sz w:val="24"/>
          <w:szCs w:val="24"/>
        </w:rPr>
        <w:t>that it should</w:t>
      </w:r>
      <w:r>
        <w:rPr>
          <w:rFonts w:cs="Arial"/>
          <w:sz w:val="24"/>
          <w:szCs w:val="24"/>
        </w:rPr>
        <w:t xml:space="preserve"> not be permitted for a </w:t>
      </w:r>
      <w:r w:rsidRPr="0054190C">
        <w:rPr>
          <w:rFonts w:cs="Arial"/>
          <w:sz w:val="24"/>
          <w:szCs w:val="24"/>
        </w:rPr>
        <w:t xml:space="preserve">person to stand trial in a particular criminal proceeding if they </w:t>
      </w:r>
      <w:r w:rsidRPr="009F14FF">
        <w:rPr>
          <w:rFonts w:cs="Arial"/>
          <w:i/>
          <w:sz w:val="24"/>
          <w:szCs w:val="24"/>
        </w:rPr>
        <w:t>cannot be supported to</w:t>
      </w:r>
      <w:r w:rsidRPr="0054190C">
        <w:rPr>
          <w:rFonts w:cs="Arial"/>
          <w:sz w:val="24"/>
          <w:szCs w:val="24"/>
        </w:rPr>
        <w:t xml:space="preserve">: </w:t>
      </w:r>
      <w:r w:rsidRPr="0054190C">
        <w:rPr>
          <w:rFonts w:eastAsia="Times New Roman" w:cs="Arial"/>
          <w:sz w:val="24"/>
          <w:szCs w:val="24"/>
          <w:shd w:val="clear" w:color="auto" w:fill="F4FBFF"/>
        </w:rPr>
        <w:t xml:space="preserve"> </w:t>
      </w:r>
      <w:r w:rsidRPr="0054190C">
        <w:rPr>
          <w:rFonts w:cs="Arial"/>
          <w:sz w:val="24"/>
          <w:szCs w:val="24"/>
        </w:rPr>
        <w:t>understand the information relevant to the decisions that they will have to make in the course of the proceedings; retain that information to the extent necessary to make decisions in the course of the proceedings;</w:t>
      </w:r>
      <w:r w:rsidRPr="0054190C">
        <w:rPr>
          <w:rFonts w:eastAsia="Times New Roman" w:cs="Arial"/>
          <w:sz w:val="24"/>
          <w:szCs w:val="24"/>
          <w:shd w:val="clear" w:color="auto" w:fill="F4FBFF"/>
        </w:rPr>
        <w:t xml:space="preserve"> </w:t>
      </w:r>
      <w:r w:rsidRPr="0054190C">
        <w:rPr>
          <w:rFonts w:cs="Arial"/>
          <w:sz w:val="24"/>
          <w:szCs w:val="24"/>
        </w:rPr>
        <w:t>use or weigh that information as part of the process of making decisions; and</w:t>
      </w:r>
      <w:r w:rsidRPr="0054190C">
        <w:rPr>
          <w:rFonts w:eastAsia="Times New Roman" w:cs="Arial"/>
          <w:sz w:val="24"/>
          <w:szCs w:val="24"/>
          <w:shd w:val="clear" w:color="auto" w:fill="F4FBFF"/>
        </w:rPr>
        <w:t xml:space="preserve"> </w:t>
      </w:r>
      <w:r w:rsidRPr="0054190C">
        <w:rPr>
          <w:rFonts w:cs="Arial"/>
          <w:sz w:val="24"/>
          <w:szCs w:val="24"/>
        </w:rPr>
        <w:t xml:space="preserve">communicate decisions in some way.  </w:t>
      </w:r>
    </w:p>
    <w:p w:rsidR="001C1253" w:rsidRPr="00D518D5" w:rsidRDefault="001C1253" w:rsidP="001C1253">
      <w:pPr>
        <w:pStyle w:val="ListParagraph"/>
        <w:rPr>
          <w:rFonts w:cs="Arial"/>
          <w:sz w:val="24"/>
          <w:szCs w:val="24"/>
        </w:rPr>
      </w:pPr>
    </w:p>
    <w:p w:rsidR="001C1253" w:rsidRPr="00D518D5" w:rsidRDefault="009F14FF" w:rsidP="001C1253">
      <w:pPr>
        <w:pStyle w:val="ListParagraph"/>
        <w:numPr>
          <w:ilvl w:val="0"/>
          <w:numId w:val="35"/>
        </w:numPr>
        <w:spacing w:after="0"/>
        <w:ind w:left="426" w:hanging="426"/>
        <w:jc w:val="both"/>
        <w:rPr>
          <w:rFonts w:cs="Arial"/>
          <w:sz w:val="24"/>
          <w:szCs w:val="24"/>
        </w:rPr>
      </w:pPr>
      <w:r>
        <w:rPr>
          <w:rFonts w:cs="Arial"/>
          <w:sz w:val="24"/>
          <w:szCs w:val="24"/>
        </w:rPr>
        <w:lastRenderedPageBreak/>
        <w:t>The focus of any ‘</w:t>
      </w:r>
      <w:r w:rsidR="001C1253" w:rsidRPr="00D518D5">
        <w:rPr>
          <w:rFonts w:cs="Arial"/>
          <w:sz w:val="24"/>
          <w:szCs w:val="24"/>
        </w:rPr>
        <w:t>test’ should be on the adequacy of the supports available to the individual to facilitate their participation in the proceedings. This shifts the emphasis to an assessment of the supports that are available to a person, rather than an assessment of the person themselves. If the necessary supports are provided, but still do not enable a person to be able to express their will and preferences, and to make decisions, then it follows that they will not be able to comprehend the proceedings sufficiently to participate, and they may be deemed unfit to stand trial for the particular criminal proceedings.</w:t>
      </w:r>
    </w:p>
    <w:p w:rsidR="001C1253" w:rsidRPr="000B118F" w:rsidRDefault="001C1253" w:rsidP="001C1253">
      <w:pPr>
        <w:pStyle w:val="Heading2"/>
        <w:ind w:firstLine="426"/>
        <w:rPr>
          <w:color w:val="1F497D" w:themeColor="text2"/>
        </w:rPr>
      </w:pPr>
      <w:r w:rsidRPr="000B118F">
        <w:rPr>
          <w:color w:val="1F497D" w:themeColor="text2"/>
        </w:rPr>
        <w:t>Removing barriers to accessing justice</w:t>
      </w:r>
      <w:r w:rsidRPr="000B118F">
        <w:rPr>
          <w:rStyle w:val="FootnoteReference"/>
          <w:color w:val="1F497D" w:themeColor="text2"/>
        </w:rPr>
        <w:footnoteReference w:id="80"/>
      </w:r>
    </w:p>
    <w:p w:rsidR="009F14FF" w:rsidRPr="009F14FF" w:rsidRDefault="009F14FF" w:rsidP="009F14FF">
      <w:pPr>
        <w:spacing w:after="0"/>
      </w:pPr>
    </w:p>
    <w:p w:rsidR="001C1253" w:rsidRPr="00BB3B83" w:rsidRDefault="001C1253" w:rsidP="001C1253">
      <w:pPr>
        <w:pStyle w:val="ListParagraph"/>
        <w:numPr>
          <w:ilvl w:val="0"/>
          <w:numId w:val="35"/>
        </w:numPr>
        <w:spacing w:after="160" w:line="259" w:lineRule="auto"/>
        <w:ind w:left="426" w:hanging="426"/>
        <w:rPr>
          <w:rFonts w:eastAsia="Times New Roman" w:cs="Arial"/>
          <w:sz w:val="24"/>
          <w:szCs w:val="24"/>
          <w:shd w:val="clear" w:color="auto" w:fill="FFFFFF"/>
        </w:rPr>
      </w:pPr>
      <w:r w:rsidRPr="00BB3B83">
        <w:rPr>
          <w:rFonts w:cs="Arial"/>
          <w:sz w:val="24"/>
          <w:szCs w:val="24"/>
        </w:rPr>
        <w:t>Recent reports demonstrate that barriers to accessing justice for people with disability, whether as a victim, a witness or a defendant are a significant problem in every jurisdiction in Australia.</w:t>
      </w:r>
      <w:r w:rsidRPr="0054190C">
        <w:rPr>
          <w:rStyle w:val="FootnoteReference"/>
          <w:rFonts w:cs="Arial"/>
          <w:sz w:val="24"/>
          <w:szCs w:val="24"/>
        </w:rPr>
        <w:footnoteReference w:id="81"/>
      </w:r>
      <w:r w:rsidRPr="00BB3B83">
        <w:rPr>
          <w:rFonts w:cs="Arial"/>
          <w:sz w:val="24"/>
          <w:szCs w:val="24"/>
        </w:rPr>
        <w:t xml:space="preserve"> Barriers exist in legislation, in policy and in the practices of police, prosecutors, courts and judges.   These barriers mean that people with disability are not afforded the same legal rights, protections and redress mechanisms as other people in the community. Many people with disability are “being left without protection and at risk of ongoing violence, or [are]   more likely to be jailed and destined to have repeated contact with the criminal justice system… many offenders had previously been victims of violence and this had not be responded to appropriately”.</w:t>
      </w:r>
      <w:r w:rsidRPr="0054190C">
        <w:rPr>
          <w:rStyle w:val="FootnoteReference"/>
          <w:rFonts w:cs="Arial"/>
          <w:sz w:val="24"/>
          <w:szCs w:val="24"/>
        </w:rPr>
        <w:footnoteReference w:id="82"/>
      </w:r>
    </w:p>
    <w:p w:rsidR="001C1253" w:rsidRPr="00BB3B83" w:rsidRDefault="001C1253" w:rsidP="001C1253">
      <w:pPr>
        <w:pStyle w:val="ListParagraph"/>
        <w:rPr>
          <w:rFonts w:cs="Arial"/>
          <w:color w:val="000000"/>
          <w:sz w:val="24"/>
          <w:szCs w:val="24"/>
        </w:rPr>
      </w:pPr>
    </w:p>
    <w:p w:rsidR="001C1253" w:rsidRPr="00BB3B83" w:rsidRDefault="001C1253" w:rsidP="001C1253">
      <w:pPr>
        <w:pStyle w:val="ListParagraph"/>
        <w:numPr>
          <w:ilvl w:val="0"/>
          <w:numId w:val="35"/>
        </w:numPr>
        <w:spacing w:after="160" w:line="259" w:lineRule="auto"/>
        <w:ind w:left="426" w:hanging="426"/>
        <w:rPr>
          <w:rFonts w:eastAsia="Times New Roman" w:cs="Arial"/>
          <w:sz w:val="24"/>
          <w:szCs w:val="24"/>
          <w:shd w:val="clear" w:color="auto" w:fill="FFFFFF"/>
        </w:rPr>
      </w:pPr>
      <w:r w:rsidRPr="00BB3B83">
        <w:rPr>
          <w:rFonts w:cs="Arial"/>
          <w:color w:val="000000"/>
          <w:sz w:val="24"/>
          <w:szCs w:val="24"/>
        </w:rPr>
        <w:t xml:space="preserve">Laws, policy and practice may prevent people with disability from giving evidence, making legal decisions or participating in legal proceedings. </w:t>
      </w:r>
      <w:r w:rsidR="00CE47EE">
        <w:rPr>
          <w:rFonts w:cs="Arial"/>
          <w:color w:val="000000"/>
          <w:sz w:val="24"/>
          <w:szCs w:val="24"/>
        </w:rPr>
        <w:t xml:space="preserve"> L</w:t>
      </w:r>
      <w:r w:rsidRPr="00BB3B83">
        <w:rPr>
          <w:rFonts w:cs="Arial"/>
          <w:sz w:val="24"/>
          <w:szCs w:val="24"/>
        </w:rPr>
        <w:t xml:space="preserve">aws of evidence </w:t>
      </w:r>
      <w:r w:rsidR="00CE47EE">
        <w:rPr>
          <w:rFonts w:cs="Arial"/>
          <w:sz w:val="24"/>
          <w:szCs w:val="24"/>
        </w:rPr>
        <w:t>may deny</w:t>
      </w:r>
      <w:r w:rsidRPr="00BB3B83">
        <w:rPr>
          <w:rFonts w:cs="Arial"/>
          <w:sz w:val="24"/>
          <w:szCs w:val="24"/>
        </w:rPr>
        <w:t xml:space="preserve"> legal capacity for people with cognitive </w:t>
      </w:r>
      <w:r w:rsidR="00CE47EE">
        <w:rPr>
          <w:rFonts w:cs="Arial"/>
          <w:sz w:val="24"/>
          <w:szCs w:val="24"/>
        </w:rPr>
        <w:t xml:space="preserve">impairment and psychosocial disability </w:t>
      </w:r>
      <w:r w:rsidRPr="00BB3B83">
        <w:rPr>
          <w:rFonts w:cs="Arial"/>
          <w:sz w:val="24"/>
          <w:szCs w:val="24"/>
        </w:rPr>
        <w:t>and prevent them from giving evidence; assumptions</w:t>
      </w:r>
      <w:r w:rsidRPr="00BB3B83">
        <w:rPr>
          <w:rFonts w:cs="Arial"/>
          <w:b/>
          <w:sz w:val="24"/>
          <w:szCs w:val="24"/>
        </w:rPr>
        <w:t xml:space="preserve"> </w:t>
      </w:r>
      <w:r w:rsidRPr="00BB3B83">
        <w:rPr>
          <w:rFonts w:cs="Arial"/>
          <w:sz w:val="24"/>
          <w:szCs w:val="24"/>
        </w:rPr>
        <w:t>about the credibility of their evidence may be made by police and court officers, such as prosecutors, judges and magistrates.</w:t>
      </w:r>
      <w:r w:rsidRPr="0054190C">
        <w:rPr>
          <w:vertAlign w:val="superscript"/>
        </w:rPr>
        <w:footnoteReference w:id="83"/>
      </w:r>
      <w:r w:rsidRPr="00BB3B83">
        <w:rPr>
          <w:rFonts w:cs="Arial"/>
          <w:sz w:val="24"/>
          <w:szCs w:val="24"/>
        </w:rPr>
        <w:t xml:space="preserve">  Additionally, laws and procedures may not allow for people with disability to use sign language interpreters, communication aids or communication support workers.</w:t>
      </w:r>
      <w:r w:rsidRPr="0054190C">
        <w:rPr>
          <w:rStyle w:val="FootnoteReference"/>
          <w:rFonts w:cs="Arial"/>
          <w:color w:val="000000"/>
          <w:sz w:val="24"/>
          <w:szCs w:val="24"/>
        </w:rPr>
        <w:footnoteReference w:id="84"/>
      </w:r>
    </w:p>
    <w:p w:rsidR="001C1253" w:rsidRPr="00BB3B83" w:rsidRDefault="001C1253" w:rsidP="001C1253">
      <w:pPr>
        <w:pStyle w:val="ListParagraph"/>
        <w:rPr>
          <w:rFonts w:cs="Arial"/>
          <w:sz w:val="24"/>
          <w:szCs w:val="24"/>
        </w:rPr>
      </w:pPr>
    </w:p>
    <w:p w:rsidR="001C1253" w:rsidRPr="00CA5453" w:rsidRDefault="001C1253" w:rsidP="001C1253">
      <w:pPr>
        <w:pStyle w:val="ListParagraph"/>
        <w:numPr>
          <w:ilvl w:val="0"/>
          <w:numId w:val="35"/>
        </w:numPr>
        <w:spacing w:after="160" w:line="259" w:lineRule="auto"/>
        <w:ind w:left="426" w:hanging="426"/>
        <w:rPr>
          <w:rFonts w:eastAsia="Times New Roman" w:cs="Arial"/>
          <w:sz w:val="24"/>
          <w:szCs w:val="24"/>
          <w:shd w:val="clear" w:color="auto" w:fill="FFFFFF"/>
        </w:rPr>
      </w:pPr>
      <w:r w:rsidRPr="00BB3B83">
        <w:rPr>
          <w:rFonts w:cs="Arial"/>
          <w:sz w:val="24"/>
          <w:szCs w:val="24"/>
        </w:rPr>
        <w:t>Comprehensive training in providing accommodations and supports to people with disability is neither compulsory nor consistent across different jurisdictions for judicial officers, legal practitioners and court staff.</w:t>
      </w:r>
      <w:r w:rsidRPr="0054190C">
        <w:rPr>
          <w:vertAlign w:val="superscript"/>
        </w:rPr>
        <w:footnoteReference w:id="85"/>
      </w:r>
      <w:r w:rsidRPr="00BB3B83">
        <w:rPr>
          <w:rFonts w:cs="Arial"/>
          <w:sz w:val="24"/>
          <w:szCs w:val="24"/>
        </w:rPr>
        <w:t xml:space="preserve">  A lack of awareness about disability issues leads to </w:t>
      </w:r>
      <w:r w:rsidRPr="00BB3B83">
        <w:rPr>
          <w:rFonts w:cs="Arial"/>
          <w:sz w:val="24"/>
          <w:szCs w:val="24"/>
        </w:rPr>
        <w:lastRenderedPageBreak/>
        <w:t>discrimination and negative attitudes.</w:t>
      </w:r>
      <w:r w:rsidRPr="0054190C">
        <w:rPr>
          <w:vertAlign w:val="superscript"/>
        </w:rPr>
        <w:footnoteReference w:id="86"/>
      </w:r>
      <w:r w:rsidRPr="00BB3B83">
        <w:rPr>
          <w:rFonts w:cs="Arial"/>
          <w:sz w:val="24"/>
          <w:szCs w:val="24"/>
        </w:rPr>
        <w:t xml:space="preserve">  In spite of Police commitment in some jurisdictions to addressing these forms of discrimination, it continues to occur.</w:t>
      </w:r>
      <w:r w:rsidRPr="0054190C">
        <w:rPr>
          <w:vertAlign w:val="superscript"/>
        </w:rPr>
        <w:footnoteReference w:id="87"/>
      </w:r>
      <w:r w:rsidRPr="00BB3B83">
        <w:rPr>
          <w:rFonts w:cs="Arial"/>
          <w:sz w:val="24"/>
          <w:szCs w:val="24"/>
        </w:rPr>
        <w:t xml:space="preserve">  </w:t>
      </w:r>
    </w:p>
    <w:p w:rsidR="00CA5453" w:rsidRPr="00CA5453" w:rsidRDefault="00CA5453" w:rsidP="00CA5453">
      <w:pPr>
        <w:pStyle w:val="ListParagraph"/>
        <w:rPr>
          <w:rFonts w:eastAsia="Times New Roman" w:cs="Arial"/>
          <w:sz w:val="24"/>
          <w:szCs w:val="24"/>
          <w:shd w:val="clear" w:color="auto" w:fill="FFFFFF"/>
        </w:rPr>
      </w:pPr>
    </w:p>
    <w:p w:rsidR="00175E06" w:rsidRDefault="00CA5453" w:rsidP="00CA5453">
      <w:pPr>
        <w:pStyle w:val="ListParagraph"/>
        <w:numPr>
          <w:ilvl w:val="0"/>
          <w:numId w:val="35"/>
        </w:numPr>
        <w:spacing w:after="160" w:line="259" w:lineRule="auto"/>
        <w:ind w:left="426" w:hanging="426"/>
        <w:rPr>
          <w:rFonts w:eastAsia="Times New Roman" w:cs="Arial"/>
          <w:sz w:val="24"/>
          <w:szCs w:val="24"/>
          <w:shd w:val="clear" w:color="auto" w:fill="FFFFFF"/>
        </w:rPr>
      </w:pPr>
      <w:r w:rsidRPr="00175E06">
        <w:rPr>
          <w:rFonts w:eastAsia="Times New Roman" w:cs="Arial"/>
          <w:sz w:val="24"/>
          <w:szCs w:val="24"/>
          <w:shd w:val="clear" w:color="auto" w:fill="FFFFFF"/>
        </w:rPr>
        <w:t xml:space="preserve">Some jurisdictions, such as NSW and Victoria have schemes that provide support for people with disability involved in the criminal justice system, such as the NSW Intellectual Disability Rights Service ‘Criminal Justice Support Network’ and </w:t>
      </w:r>
      <w:r w:rsidR="00175E06" w:rsidRPr="00175E06">
        <w:rPr>
          <w:rFonts w:eastAsia="Times New Roman" w:cs="Arial"/>
          <w:sz w:val="24"/>
          <w:szCs w:val="24"/>
          <w:shd w:val="clear" w:color="auto" w:fill="FFFFFF"/>
        </w:rPr>
        <w:t xml:space="preserve">Victoria’s Independent Third Person (ITP) Program. While these are valuable programs, they are </w:t>
      </w:r>
      <w:r w:rsidR="00175E06">
        <w:rPr>
          <w:rFonts w:eastAsia="Times New Roman" w:cs="Arial"/>
          <w:sz w:val="24"/>
          <w:szCs w:val="24"/>
          <w:shd w:val="clear" w:color="auto" w:fill="FFFFFF"/>
        </w:rPr>
        <w:t xml:space="preserve">not </w:t>
      </w:r>
      <w:r w:rsidR="00175E06" w:rsidRPr="00175E06">
        <w:rPr>
          <w:rFonts w:eastAsia="Times New Roman" w:cs="Arial"/>
          <w:sz w:val="24"/>
          <w:szCs w:val="24"/>
          <w:shd w:val="clear" w:color="auto" w:fill="FFFFFF"/>
        </w:rPr>
        <w:t xml:space="preserve">available to all people with disability and they are staffed by volunteers.  </w:t>
      </w:r>
    </w:p>
    <w:p w:rsidR="00175E06" w:rsidRPr="00175E06" w:rsidRDefault="00175E06" w:rsidP="00175E06">
      <w:pPr>
        <w:pStyle w:val="ListParagraph"/>
        <w:rPr>
          <w:rFonts w:eastAsia="Times New Roman" w:cs="Arial"/>
          <w:sz w:val="24"/>
          <w:szCs w:val="24"/>
          <w:shd w:val="clear" w:color="auto" w:fill="FFFFFF"/>
        </w:rPr>
      </w:pPr>
    </w:p>
    <w:p w:rsidR="00CA5453" w:rsidRPr="00C25DD8" w:rsidRDefault="00CA5453" w:rsidP="00CA5453">
      <w:pPr>
        <w:pStyle w:val="ListParagraph"/>
        <w:numPr>
          <w:ilvl w:val="0"/>
          <w:numId w:val="35"/>
        </w:numPr>
        <w:spacing w:after="160" w:line="259" w:lineRule="auto"/>
        <w:ind w:left="426" w:hanging="426"/>
        <w:rPr>
          <w:rFonts w:eastAsia="Times New Roman" w:cs="Arial"/>
          <w:sz w:val="24"/>
          <w:szCs w:val="24"/>
          <w:shd w:val="clear" w:color="auto" w:fill="FFFFFF"/>
        </w:rPr>
      </w:pPr>
      <w:r w:rsidRPr="00C25DD8">
        <w:rPr>
          <w:rFonts w:eastAsia="Times New Roman" w:cs="Arial"/>
          <w:sz w:val="24"/>
          <w:szCs w:val="24"/>
          <w:shd w:val="clear" w:color="auto" w:fill="FFFFFF"/>
        </w:rPr>
        <w:t>England, Wales and Northern Ireland have progressively introduced witness intermediaries schemes since initial pilots in 2004. The schemes are designed to provide police and court officials with immediate access to communication professionals to enable children and people with disability to give their best possible evidence and participate fully in justice processes. In England, the Ministry of Justice keeps a list of Registered Intermediaries, who are communication professionals</w:t>
      </w:r>
      <w:r w:rsidR="00175E06" w:rsidRPr="00C25DD8">
        <w:rPr>
          <w:rFonts w:eastAsia="Times New Roman" w:cs="Arial"/>
          <w:sz w:val="24"/>
          <w:szCs w:val="24"/>
          <w:shd w:val="clear" w:color="auto" w:fill="FFFFFF"/>
        </w:rPr>
        <w:t xml:space="preserve">, such as speech pathologists and </w:t>
      </w:r>
      <w:r w:rsidRPr="00C25DD8">
        <w:rPr>
          <w:rFonts w:eastAsia="Times New Roman" w:cs="Arial"/>
          <w:sz w:val="24"/>
          <w:szCs w:val="24"/>
          <w:shd w:val="clear" w:color="auto" w:fill="FFFFFF"/>
        </w:rPr>
        <w:t>psychologists</w:t>
      </w:r>
      <w:r w:rsidR="00175E06" w:rsidRPr="00C25DD8">
        <w:rPr>
          <w:rFonts w:eastAsia="Times New Roman" w:cs="Arial"/>
          <w:sz w:val="24"/>
          <w:szCs w:val="24"/>
          <w:shd w:val="clear" w:color="auto" w:fill="FFFFFF"/>
        </w:rPr>
        <w:t>,</w:t>
      </w:r>
      <w:r w:rsidRPr="00C25DD8">
        <w:rPr>
          <w:rFonts w:eastAsia="Times New Roman" w:cs="Arial"/>
          <w:sz w:val="24"/>
          <w:szCs w:val="24"/>
          <w:shd w:val="clear" w:color="auto" w:fill="FFFFFF"/>
        </w:rPr>
        <w:t xml:space="preserve"> and who have undertaken </w:t>
      </w:r>
      <w:r w:rsidR="00175E06" w:rsidRPr="00C25DD8">
        <w:rPr>
          <w:rFonts w:eastAsia="Times New Roman" w:cs="Arial"/>
          <w:sz w:val="24"/>
          <w:szCs w:val="24"/>
          <w:shd w:val="clear" w:color="auto" w:fill="FFFFFF"/>
        </w:rPr>
        <w:t xml:space="preserve">specific </w:t>
      </w:r>
      <w:r w:rsidRPr="00C25DD8">
        <w:rPr>
          <w:rFonts w:eastAsia="Times New Roman" w:cs="Arial"/>
          <w:sz w:val="24"/>
          <w:szCs w:val="24"/>
          <w:shd w:val="clear" w:color="auto" w:fill="FFFFFF"/>
        </w:rPr>
        <w:t xml:space="preserve">training. </w:t>
      </w:r>
      <w:r w:rsidR="00175E06" w:rsidRPr="00C25DD8">
        <w:rPr>
          <w:rFonts w:eastAsia="Times New Roman" w:cs="Arial"/>
          <w:sz w:val="24"/>
          <w:szCs w:val="24"/>
          <w:shd w:val="clear" w:color="auto" w:fill="FFFFFF"/>
        </w:rPr>
        <w:t xml:space="preserve"> These intermediaries </w:t>
      </w:r>
      <w:r w:rsidRPr="00C25DD8">
        <w:rPr>
          <w:rFonts w:eastAsia="Times New Roman" w:cs="Arial"/>
          <w:sz w:val="24"/>
          <w:szCs w:val="24"/>
          <w:shd w:val="clear" w:color="auto" w:fill="FFFFFF"/>
        </w:rPr>
        <w:t xml:space="preserve">solely assist police and court officials with communication with the person with disability or child. </w:t>
      </w:r>
      <w:r w:rsidR="00175E06" w:rsidRPr="00C25DD8">
        <w:rPr>
          <w:rFonts w:eastAsia="Times New Roman" w:cs="Arial"/>
          <w:sz w:val="24"/>
          <w:szCs w:val="24"/>
          <w:shd w:val="clear" w:color="auto" w:fill="FFFFFF"/>
        </w:rPr>
        <w:t xml:space="preserve"> </w:t>
      </w:r>
      <w:r w:rsidRPr="00C25DD8">
        <w:rPr>
          <w:rFonts w:eastAsia="Times New Roman" w:cs="Arial"/>
          <w:sz w:val="24"/>
          <w:szCs w:val="24"/>
          <w:shd w:val="clear" w:color="auto" w:fill="FFFFFF"/>
        </w:rPr>
        <w:t xml:space="preserve">The scheme ensures communication support throughout a justice process, and is increasingly being used </w:t>
      </w:r>
      <w:r w:rsidR="00175E06" w:rsidRPr="00C25DD8">
        <w:rPr>
          <w:rFonts w:eastAsia="Times New Roman" w:cs="Arial"/>
          <w:sz w:val="24"/>
          <w:szCs w:val="24"/>
          <w:shd w:val="clear" w:color="auto" w:fill="FFFFFF"/>
        </w:rPr>
        <w:t xml:space="preserve">with, for example </w:t>
      </w:r>
      <w:r w:rsidRPr="00C25DD8">
        <w:rPr>
          <w:rFonts w:eastAsia="Times New Roman" w:cs="Arial"/>
          <w:sz w:val="24"/>
          <w:szCs w:val="24"/>
          <w:shd w:val="clear" w:color="auto" w:fill="FFFFFF"/>
        </w:rPr>
        <w:t>defen</w:t>
      </w:r>
      <w:r w:rsidR="00175E06" w:rsidRPr="00C25DD8">
        <w:rPr>
          <w:rFonts w:eastAsia="Times New Roman" w:cs="Arial"/>
          <w:sz w:val="24"/>
          <w:szCs w:val="24"/>
          <w:shd w:val="clear" w:color="auto" w:fill="FFFFFF"/>
        </w:rPr>
        <w:t>dants with disability in the UK.</w:t>
      </w:r>
      <w:r w:rsidR="00175E06">
        <w:rPr>
          <w:rStyle w:val="FootnoteReference"/>
          <w:rFonts w:eastAsia="Times New Roman" w:cs="Arial"/>
          <w:sz w:val="24"/>
          <w:szCs w:val="24"/>
          <w:shd w:val="clear" w:color="auto" w:fill="FFFFFF"/>
        </w:rPr>
        <w:footnoteReference w:id="88"/>
      </w:r>
      <w:r w:rsidR="00C25DD8" w:rsidRPr="00C25DD8">
        <w:rPr>
          <w:rFonts w:eastAsia="Times New Roman" w:cs="Arial"/>
          <w:sz w:val="24"/>
          <w:szCs w:val="24"/>
          <w:shd w:val="clear" w:color="auto" w:fill="FFFFFF"/>
        </w:rPr>
        <w:t xml:space="preserve"> Professor Penny Cooper, who has designed and implemented the Registered Intermediaries schemes across a number of jurisdictions has recently been in Australia assisting the NSW Department of Justice in the development of their ‘Children’s Champions’ witness intermediaries pilot. Professor Cooper has also developed the Advocate’s Gateway, an online resource that provides “free access to practical,</w:t>
      </w:r>
      <w:r w:rsidR="00C25DD8" w:rsidRPr="00C25DD8">
        <w:rPr>
          <w:color w:val="555555"/>
          <w:lang w:val="en-GB"/>
        </w:rPr>
        <w:t xml:space="preserve"> evidence-based guidance on vulnerable witnesses and defendants</w:t>
      </w:r>
      <w:r w:rsidR="00C25DD8">
        <w:rPr>
          <w:color w:val="555555"/>
          <w:lang w:val="en-GB"/>
        </w:rPr>
        <w:t>”.</w:t>
      </w:r>
      <w:r w:rsidR="00C25DD8">
        <w:rPr>
          <w:rStyle w:val="FootnoteReference"/>
          <w:color w:val="555555"/>
          <w:lang w:val="en-GB"/>
        </w:rPr>
        <w:footnoteReference w:id="89"/>
      </w:r>
    </w:p>
    <w:p w:rsidR="001C1253" w:rsidRPr="00CE47EE" w:rsidRDefault="001C1253" w:rsidP="00CE47EE">
      <w:pPr>
        <w:pStyle w:val="Heading2"/>
        <w:spacing w:after="120"/>
        <w:ind w:firstLine="425"/>
        <w:rPr>
          <w:rFonts w:cstheme="majorHAnsi"/>
          <w:color w:val="1F497D" w:themeColor="text2"/>
        </w:rPr>
      </w:pPr>
      <w:r w:rsidRPr="00CE47EE">
        <w:rPr>
          <w:rFonts w:cstheme="majorHAnsi"/>
          <w:color w:val="1F497D" w:themeColor="text2"/>
        </w:rPr>
        <w:t>Limits on detention</w:t>
      </w:r>
      <w:r w:rsidRPr="00CE47EE">
        <w:rPr>
          <w:rStyle w:val="FootnoteReference"/>
          <w:rFonts w:cstheme="majorHAnsi"/>
          <w:color w:val="1F497D" w:themeColor="text2"/>
        </w:rPr>
        <w:footnoteReference w:id="90"/>
      </w:r>
      <w:r w:rsidRPr="00CE47EE">
        <w:rPr>
          <w:rFonts w:cstheme="majorHAnsi"/>
          <w:color w:val="1F497D" w:themeColor="text2"/>
        </w:rPr>
        <w:t xml:space="preserve"> </w:t>
      </w:r>
    </w:p>
    <w:p w:rsidR="001C1253" w:rsidRPr="004C5283" w:rsidRDefault="001C1253" w:rsidP="001C1253">
      <w:pPr>
        <w:pStyle w:val="ListParagraph"/>
        <w:numPr>
          <w:ilvl w:val="0"/>
          <w:numId w:val="35"/>
        </w:numPr>
        <w:spacing w:after="160" w:line="259" w:lineRule="auto"/>
        <w:ind w:left="426" w:hanging="426"/>
        <w:rPr>
          <w:rFonts w:eastAsia="Times New Roman" w:cs="Arial"/>
          <w:sz w:val="24"/>
          <w:szCs w:val="24"/>
          <w:shd w:val="clear" w:color="auto" w:fill="FFFFFF"/>
        </w:rPr>
      </w:pPr>
      <w:r w:rsidRPr="00BB3B83">
        <w:rPr>
          <w:rFonts w:cs="Arial"/>
          <w:sz w:val="24"/>
          <w:szCs w:val="24"/>
        </w:rPr>
        <w:t xml:space="preserve">There is significant inconsistency across Australian jurisdictions with respect to </w:t>
      </w:r>
      <w:r w:rsidRPr="00BB3B83">
        <w:rPr>
          <w:rFonts w:eastAsia="Times New Roman" w:cs="Arial"/>
          <w:sz w:val="24"/>
          <w:szCs w:val="24"/>
          <w:shd w:val="clear" w:color="auto" w:fill="FFFFFF"/>
        </w:rPr>
        <w:t>statutory limits on the period of detention for people found unfit to stand trial and also for those detained for the purposes of involuntary treatment under mental health legislation.</w:t>
      </w:r>
      <w:r w:rsidRPr="00BB3B83">
        <w:rPr>
          <w:rFonts w:eastAsia="Times New Roman" w:cs="Arial"/>
          <w:sz w:val="24"/>
          <w:szCs w:val="24"/>
        </w:rPr>
        <w:t xml:space="preserve">  S</w:t>
      </w:r>
      <w:r w:rsidRPr="00BB3B83">
        <w:rPr>
          <w:rFonts w:cs="Arial"/>
          <w:sz w:val="24"/>
          <w:szCs w:val="24"/>
        </w:rPr>
        <w:t xml:space="preserve">tate and territory laws should provide for limits on the period of detention of a person who has been found unfit to stand trial, and for regular periodic review of other detention orders.  </w:t>
      </w:r>
    </w:p>
    <w:p w:rsidR="001C1253" w:rsidRPr="00BB3B83" w:rsidRDefault="001C1253" w:rsidP="001C1253">
      <w:pPr>
        <w:pStyle w:val="ListParagraph"/>
        <w:ind w:left="426"/>
        <w:rPr>
          <w:rFonts w:eastAsia="Times New Roman" w:cs="Arial"/>
          <w:sz w:val="24"/>
          <w:szCs w:val="24"/>
          <w:shd w:val="clear" w:color="auto" w:fill="FFFFFF"/>
        </w:rPr>
      </w:pPr>
    </w:p>
    <w:p w:rsidR="001C1253" w:rsidRPr="00BB3B83" w:rsidRDefault="001C1253" w:rsidP="001C1253">
      <w:pPr>
        <w:pStyle w:val="ListParagraph"/>
        <w:numPr>
          <w:ilvl w:val="0"/>
          <w:numId w:val="35"/>
        </w:numPr>
        <w:spacing w:after="160" w:line="259" w:lineRule="auto"/>
        <w:ind w:left="426" w:hanging="426"/>
        <w:rPr>
          <w:rFonts w:eastAsia="Times New Roman" w:cs="Arial"/>
          <w:sz w:val="24"/>
          <w:szCs w:val="24"/>
          <w:shd w:val="clear" w:color="auto" w:fill="FFFFFF"/>
        </w:rPr>
      </w:pPr>
      <w:r w:rsidRPr="00BB3B83">
        <w:rPr>
          <w:rFonts w:cs="Arial"/>
          <w:sz w:val="24"/>
          <w:szCs w:val="24"/>
        </w:rPr>
        <w:t xml:space="preserve">A useful starting point exists in Commonwealth legislation where s 20BD of the </w:t>
      </w:r>
      <w:r w:rsidRPr="00BB3B83">
        <w:rPr>
          <w:rFonts w:cs="Arial"/>
          <w:i/>
          <w:sz w:val="24"/>
          <w:szCs w:val="24"/>
        </w:rPr>
        <w:t>Crimes Act</w:t>
      </w:r>
      <w:r w:rsidRPr="00BB3B83">
        <w:rPr>
          <w:rFonts w:cs="Arial"/>
          <w:sz w:val="24"/>
          <w:szCs w:val="24"/>
        </w:rPr>
        <w:t xml:space="preserve"> requires review at least once every six months.   However, given that the availability and adequacy of support provision which would enable a person</w:t>
      </w:r>
      <w:r w:rsidR="0094720E">
        <w:rPr>
          <w:rFonts w:cs="Arial"/>
          <w:sz w:val="24"/>
          <w:szCs w:val="24"/>
        </w:rPr>
        <w:t xml:space="preserve"> with disability to, for example, </w:t>
      </w:r>
      <w:r w:rsidRPr="00BB3B83">
        <w:rPr>
          <w:rFonts w:cs="Arial"/>
          <w:sz w:val="24"/>
          <w:szCs w:val="24"/>
        </w:rPr>
        <w:lastRenderedPageBreak/>
        <w:t>participate in a crimina</w:t>
      </w:r>
      <w:r w:rsidR="0094720E">
        <w:rPr>
          <w:rFonts w:cs="Arial"/>
          <w:sz w:val="24"/>
          <w:szCs w:val="24"/>
        </w:rPr>
        <w:t xml:space="preserve">l trial or have a </w:t>
      </w:r>
      <w:r w:rsidRPr="00BB3B83">
        <w:rPr>
          <w:rFonts w:cs="Arial"/>
          <w:sz w:val="24"/>
          <w:szCs w:val="24"/>
        </w:rPr>
        <w:t xml:space="preserve">Representative make rights based decisions on their behalf can fluctuate, more frequent reviews would be preferable.  Legislation should also be amended to incorporate reference to </w:t>
      </w:r>
      <w:r w:rsidR="0094720E">
        <w:rPr>
          <w:rFonts w:cs="Arial"/>
          <w:sz w:val="24"/>
          <w:szCs w:val="24"/>
        </w:rPr>
        <w:t xml:space="preserve">seeking </w:t>
      </w:r>
      <w:r w:rsidRPr="00BB3B83">
        <w:rPr>
          <w:rFonts w:cs="Arial"/>
          <w:sz w:val="24"/>
          <w:szCs w:val="24"/>
        </w:rPr>
        <w:t>alternative regime</w:t>
      </w:r>
      <w:r w:rsidR="0094720E">
        <w:rPr>
          <w:rFonts w:cs="Arial"/>
          <w:sz w:val="24"/>
          <w:szCs w:val="24"/>
        </w:rPr>
        <w:t>s</w:t>
      </w:r>
      <w:r w:rsidRPr="00BB3B83">
        <w:rPr>
          <w:rFonts w:cs="Arial"/>
          <w:sz w:val="24"/>
          <w:szCs w:val="24"/>
        </w:rPr>
        <w:t xml:space="preserve"> of supports </w:t>
      </w:r>
      <w:r w:rsidR="0094720E">
        <w:rPr>
          <w:rFonts w:cs="Arial"/>
          <w:sz w:val="24"/>
          <w:szCs w:val="24"/>
        </w:rPr>
        <w:t xml:space="preserve">that </w:t>
      </w:r>
      <w:r w:rsidRPr="00BB3B83">
        <w:rPr>
          <w:rFonts w:cs="Arial"/>
          <w:sz w:val="24"/>
          <w:szCs w:val="24"/>
        </w:rPr>
        <w:t>may be provided which would facilitate the pe</w:t>
      </w:r>
      <w:r w:rsidR="0094720E">
        <w:rPr>
          <w:rFonts w:cs="Arial"/>
          <w:sz w:val="24"/>
          <w:szCs w:val="24"/>
        </w:rPr>
        <w:t xml:space="preserve">rson’s participation in a trial, in treatment and other life decisions </w:t>
      </w:r>
      <w:r w:rsidRPr="00BB3B83">
        <w:rPr>
          <w:rFonts w:cs="Arial"/>
          <w:sz w:val="24"/>
          <w:szCs w:val="24"/>
        </w:rPr>
        <w:t>or render a Representative decision maker unnecessary.</w:t>
      </w:r>
    </w:p>
    <w:p w:rsidR="001C1253" w:rsidRDefault="001C1253" w:rsidP="00A60794">
      <w:pPr>
        <w:pStyle w:val="Heading2"/>
        <w:spacing w:before="240"/>
        <w:ind w:firstLine="425"/>
        <w:rPr>
          <w:color w:val="1F497D" w:themeColor="text2"/>
        </w:rPr>
      </w:pPr>
      <w:r w:rsidRPr="00A60794">
        <w:rPr>
          <w:color w:val="1F497D" w:themeColor="text2"/>
        </w:rPr>
        <w:t>Elimination of restrictive practices</w:t>
      </w:r>
    </w:p>
    <w:p w:rsidR="00A60794" w:rsidRPr="00A60794" w:rsidRDefault="00A60794" w:rsidP="00A60794">
      <w:pPr>
        <w:spacing w:after="0" w:line="240" w:lineRule="auto"/>
        <w:rPr>
          <w:b/>
        </w:rPr>
      </w:pPr>
    </w:p>
    <w:p w:rsidR="001C1253" w:rsidRPr="00BB3B83" w:rsidRDefault="001C1253" w:rsidP="001C1253">
      <w:pPr>
        <w:pStyle w:val="ListParagraph"/>
        <w:numPr>
          <w:ilvl w:val="0"/>
          <w:numId w:val="35"/>
        </w:numPr>
        <w:spacing w:after="160" w:line="259" w:lineRule="auto"/>
        <w:ind w:left="426" w:hanging="426"/>
        <w:rPr>
          <w:rFonts w:eastAsia="Times New Roman" w:cs="Arial"/>
          <w:sz w:val="24"/>
          <w:szCs w:val="24"/>
          <w:shd w:val="clear" w:color="auto" w:fill="FFFFFF"/>
        </w:rPr>
      </w:pPr>
      <w:r w:rsidRPr="00BB3B83">
        <w:rPr>
          <w:rFonts w:cs="Arial"/>
          <w:color w:val="000000"/>
          <w:sz w:val="24"/>
          <w:szCs w:val="24"/>
        </w:rPr>
        <w:t>Restrictive practices occur in a variety of places of detention such as prisons and juvenile justice facilities as well as other settings such as disability and mental health services, large residential institutions, group homes, boarding houses and mental health facilities as well as government, private and special schools, hospitals, residential aged care facilities, immigration detention and family homes.</w:t>
      </w:r>
      <w:r w:rsidRPr="0054190C">
        <w:rPr>
          <w:vertAlign w:val="superscript"/>
        </w:rPr>
        <w:footnoteReference w:id="91"/>
      </w:r>
      <w:r w:rsidRPr="00BB3B83">
        <w:rPr>
          <w:rFonts w:cs="Arial"/>
          <w:color w:val="000000"/>
          <w:sz w:val="24"/>
          <w:szCs w:val="24"/>
        </w:rPr>
        <w:t xml:space="preserve"> However, the only framework available to address these rights violations is the</w:t>
      </w:r>
      <w:r w:rsidRPr="00BB3B83">
        <w:rPr>
          <w:rFonts w:cs="Arial"/>
          <w:sz w:val="24"/>
          <w:szCs w:val="24"/>
        </w:rPr>
        <w:t xml:space="preserve"> </w:t>
      </w:r>
      <w:r w:rsidRPr="00BB3B83">
        <w:rPr>
          <w:rFonts w:cs="Arial"/>
          <w:i/>
          <w:sz w:val="24"/>
          <w:szCs w:val="24"/>
        </w:rPr>
        <w:t>National Framework for Reducing and Eliminating the Use of Restrictive Practices in the Disability Service Sector</w:t>
      </w:r>
      <w:r w:rsidRPr="00BB3B83">
        <w:rPr>
          <w:rFonts w:cs="Arial"/>
          <w:sz w:val="24"/>
          <w:szCs w:val="24"/>
        </w:rPr>
        <w:t xml:space="preserve"> </w:t>
      </w:r>
      <w:r w:rsidRPr="0054190C">
        <w:rPr>
          <w:rStyle w:val="FootnoteReference"/>
          <w:rFonts w:cs="Arial"/>
          <w:sz w:val="24"/>
          <w:szCs w:val="24"/>
        </w:rPr>
        <w:footnoteReference w:id="92"/>
      </w:r>
      <w:r w:rsidRPr="00BB3B83">
        <w:rPr>
          <w:rFonts w:cs="Arial"/>
          <w:sz w:val="24"/>
          <w:szCs w:val="24"/>
        </w:rPr>
        <w:t xml:space="preserve"> (the National Framework)</w:t>
      </w:r>
      <w:r w:rsidR="003E23AD">
        <w:rPr>
          <w:rFonts w:cs="Arial"/>
          <w:sz w:val="24"/>
          <w:szCs w:val="24"/>
        </w:rPr>
        <w:t>.  The National Framework</w:t>
      </w:r>
      <w:r w:rsidRPr="00BB3B83">
        <w:rPr>
          <w:rFonts w:cs="Arial"/>
          <w:sz w:val="24"/>
          <w:szCs w:val="24"/>
        </w:rPr>
        <w:t xml:space="preserve"> has considerable limitations</w:t>
      </w:r>
      <w:r w:rsidRPr="0054190C">
        <w:rPr>
          <w:rStyle w:val="FootnoteReference"/>
          <w:rFonts w:cs="Arial"/>
          <w:sz w:val="24"/>
          <w:szCs w:val="24"/>
        </w:rPr>
        <w:footnoteReference w:id="93"/>
      </w:r>
      <w:r w:rsidRPr="00BB3B83">
        <w:rPr>
          <w:rFonts w:cs="Arial"/>
          <w:sz w:val="24"/>
          <w:szCs w:val="24"/>
        </w:rPr>
        <w:t xml:space="preserve"> in that it only applies to the disability service sector, it focuses on </w:t>
      </w:r>
      <w:r w:rsidRPr="00BB3B83">
        <w:rPr>
          <w:rFonts w:cs="Arial"/>
          <w:color w:val="000000"/>
          <w:sz w:val="24"/>
          <w:szCs w:val="24"/>
        </w:rPr>
        <w:t>when and how to authorise restrictive practices rather than eliminating their use, there is no coverage or connection to other initiatives seeking to address restrictive practices, such as the National Mental Health Commission’s National Seclusion and Restraint Project;</w:t>
      </w:r>
      <w:r w:rsidRPr="0054190C">
        <w:rPr>
          <w:rStyle w:val="FootnoteReference"/>
          <w:rFonts w:cs="Arial"/>
          <w:color w:val="000000"/>
          <w:sz w:val="24"/>
          <w:szCs w:val="24"/>
        </w:rPr>
        <w:footnoteReference w:id="94"/>
      </w:r>
      <w:r w:rsidRPr="00BB3B83">
        <w:rPr>
          <w:rFonts w:cs="Arial"/>
          <w:color w:val="000000"/>
          <w:sz w:val="24"/>
          <w:szCs w:val="24"/>
        </w:rPr>
        <w:t xml:space="preserve"> and there is no reference to Australia’s obligations under CAT.</w:t>
      </w:r>
    </w:p>
    <w:p w:rsidR="001C1253" w:rsidRPr="00BB3B83" w:rsidRDefault="001C1253" w:rsidP="001C1253">
      <w:pPr>
        <w:pStyle w:val="ListParagraph"/>
        <w:ind w:left="426"/>
        <w:rPr>
          <w:rFonts w:eastAsia="Times New Roman" w:cs="Arial"/>
          <w:sz w:val="24"/>
          <w:szCs w:val="24"/>
          <w:shd w:val="clear" w:color="auto" w:fill="FFFFFF"/>
        </w:rPr>
      </w:pPr>
    </w:p>
    <w:p w:rsidR="001C1253" w:rsidRPr="00BB3B83" w:rsidRDefault="001C1253" w:rsidP="001C1253">
      <w:pPr>
        <w:pStyle w:val="ListParagraph"/>
        <w:numPr>
          <w:ilvl w:val="0"/>
          <w:numId w:val="35"/>
        </w:numPr>
        <w:spacing w:after="160" w:line="259" w:lineRule="auto"/>
        <w:ind w:left="426" w:hanging="426"/>
        <w:rPr>
          <w:rFonts w:eastAsia="Times New Roman" w:cs="Arial"/>
          <w:sz w:val="24"/>
          <w:szCs w:val="24"/>
          <w:shd w:val="clear" w:color="auto" w:fill="FFFFFF"/>
        </w:rPr>
      </w:pPr>
      <w:r w:rsidRPr="00BB3B83">
        <w:rPr>
          <w:rFonts w:cs="Arial"/>
          <w:color w:val="000000"/>
          <w:sz w:val="24"/>
          <w:szCs w:val="24"/>
        </w:rPr>
        <w:t>Understanding restrictive practices within the CAT Framework would ensure much greater protections includ</w:t>
      </w:r>
      <w:r>
        <w:rPr>
          <w:rFonts w:cs="Arial"/>
          <w:color w:val="000000"/>
          <w:sz w:val="24"/>
          <w:szCs w:val="24"/>
        </w:rPr>
        <w:t>ing</w:t>
      </w:r>
      <w:r w:rsidRPr="00BB3B83">
        <w:rPr>
          <w:rFonts w:cs="Arial"/>
          <w:color w:val="000000"/>
          <w:sz w:val="24"/>
          <w:szCs w:val="24"/>
        </w:rPr>
        <w:t xml:space="preserve"> the enactment of nationally consistent legislation to criminalise torture, cruel, inhuman or degrading treatment or punishment, the provision for legal action to be taken to remedy a breach, the ratification of the Optional Protocol to CAT</w:t>
      </w:r>
      <w:r>
        <w:rPr>
          <w:rFonts w:cs="Arial"/>
          <w:color w:val="000000"/>
          <w:sz w:val="24"/>
          <w:szCs w:val="24"/>
        </w:rPr>
        <w:t>,</w:t>
      </w:r>
      <w:r w:rsidRPr="00BB3B83">
        <w:rPr>
          <w:rFonts w:cs="Arial"/>
          <w:color w:val="000000"/>
          <w:sz w:val="24"/>
          <w:szCs w:val="24"/>
        </w:rPr>
        <w:t xml:space="preserve"> and the establishment of an independent national preventative mechanism to monitor places of detention, including disability residential settings, mental health facilities, disability justice centres and prisons.</w:t>
      </w:r>
    </w:p>
    <w:p w:rsidR="001C1253" w:rsidRPr="003E23AD" w:rsidRDefault="001C1253" w:rsidP="003E23AD">
      <w:pPr>
        <w:pStyle w:val="Heading2"/>
        <w:spacing w:after="160"/>
        <w:ind w:firstLine="425"/>
        <w:rPr>
          <w:color w:val="1F497D" w:themeColor="text2"/>
        </w:rPr>
      </w:pPr>
      <w:r w:rsidRPr="003E23AD">
        <w:rPr>
          <w:color w:val="1F497D" w:themeColor="text2"/>
        </w:rPr>
        <w:t xml:space="preserve">Provision of adequate disability support </w:t>
      </w:r>
    </w:p>
    <w:p w:rsidR="001C1253" w:rsidRPr="00BB3B83" w:rsidRDefault="001C1253" w:rsidP="001C1253">
      <w:pPr>
        <w:pStyle w:val="ListParagraph"/>
        <w:numPr>
          <w:ilvl w:val="0"/>
          <w:numId w:val="35"/>
        </w:numPr>
        <w:spacing w:after="160" w:line="259" w:lineRule="auto"/>
        <w:ind w:left="426" w:hanging="426"/>
        <w:rPr>
          <w:rFonts w:eastAsia="Times New Roman" w:cs="Arial"/>
          <w:sz w:val="24"/>
          <w:szCs w:val="24"/>
          <w:shd w:val="clear" w:color="auto" w:fill="FFFFFF"/>
        </w:rPr>
      </w:pPr>
      <w:r w:rsidRPr="00BB3B83">
        <w:rPr>
          <w:sz w:val="24"/>
          <w:szCs w:val="24"/>
        </w:rPr>
        <w:t xml:space="preserve">People with disability, particularly those with cognitive impairment and/or psychosocial disability, are vastly overrepresented in the criminal justice system.  This is a problem in itself and is compounded by ineffective access to justice.  However, it also reflects an underlying lack of access to adequate disability services and support in the community which can lead to people with disability becoming vulnerable to coming into conflict with the law. </w:t>
      </w:r>
    </w:p>
    <w:p w:rsidR="001C1253" w:rsidRPr="00BB3B83" w:rsidRDefault="001C1253" w:rsidP="001C1253">
      <w:pPr>
        <w:pStyle w:val="ListParagraph"/>
        <w:ind w:left="426"/>
        <w:rPr>
          <w:rFonts w:eastAsia="Times New Roman" w:cs="Arial"/>
          <w:sz w:val="24"/>
          <w:szCs w:val="24"/>
          <w:shd w:val="clear" w:color="auto" w:fill="FFFFFF"/>
        </w:rPr>
      </w:pPr>
    </w:p>
    <w:p w:rsidR="001C1253" w:rsidRPr="00BB3B83" w:rsidRDefault="001C1253" w:rsidP="001C1253">
      <w:pPr>
        <w:pStyle w:val="ListParagraph"/>
        <w:numPr>
          <w:ilvl w:val="0"/>
          <w:numId w:val="35"/>
        </w:numPr>
        <w:spacing w:after="160" w:line="259" w:lineRule="auto"/>
        <w:ind w:left="426" w:hanging="426"/>
        <w:rPr>
          <w:rFonts w:eastAsia="Times New Roman" w:cs="Arial"/>
          <w:sz w:val="24"/>
          <w:szCs w:val="24"/>
          <w:shd w:val="clear" w:color="auto" w:fill="FFFFFF"/>
        </w:rPr>
      </w:pPr>
      <w:r w:rsidRPr="00BB3B83">
        <w:rPr>
          <w:color w:val="000000"/>
          <w:sz w:val="24"/>
          <w:szCs w:val="24"/>
        </w:rPr>
        <w:lastRenderedPageBreak/>
        <w:t xml:space="preserve">While data is not uniform or consistent across jurisdictions, available data </w:t>
      </w:r>
      <w:r>
        <w:rPr>
          <w:color w:val="000000"/>
          <w:sz w:val="24"/>
          <w:szCs w:val="24"/>
        </w:rPr>
        <w:t xml:space="preserve">suggests that almost half to 78% </w:t>
      </w:r>
      <w:r w:rsidRPr="00BB3B83">
        <w:rPr>
          <w:color w:val="000000"/>
          <w:sz w:val="24"/>
          <w:szCs w:val="24"/>
        </w:rPr>
        <w:t>of prisoners have experienced a ‘psychiatric disorder’ compared with 11</w:t>
      </w:r>
      <w:r>
        <w:rPr>
          <w:color w:val="000000"/>
          <w:sz w:val="24"/>
          <w:szCs w:val="24"/>
        </w:rPr>
        <w:t>%</w:t>
      </w:r>
      <w:r w:rsidRPr="00BB3B83">
        <w:rPr>
          <w:color w:val="000000"/>
          <w:sz w:val="24"/>
          <w:szCs w:val="24"/>
        </w:rPr>
        <w:t xml:space="preserve"> of the general population; and 20</w:t>
      </w:r>
      <w:r>
        <w:rPr>
          <w:color w:val="000000"/>
          <w:sz w:val="24"/>
          <w:szCs w:val="24"/>
        </w:rPr>
        <w:t>%</w:t>
      </w:r>
      <w:r w:rsidRPr="00BB3B83">
        <w:rPr>
          <w:color w:val="000000"/>
          <w:sz w:val="24"/>
          <w:szCs w:val="24"/>
        </w:rPr>
        <w:t xml:space="preserve"> of prisoners have an intellectual disability compared with 2–3</w:t>
      </w:r>
      <w:r>
        <w:rPr>
          <w:color w:val="000000"/>
          <w:sz w:val="24"/>
          <w:szCs w:val="24"/>
        </w:rPr>
        <w:t>%</w:t>
      </w:r>
      <w:r w:rsidRPr="00BB3B83">
        <w:rPr>
          <w:color w:val="000000"/>
          <w:sz w:val="24"/>
          <w:szCs w:val="24"/>
        </w:rPr>
        <w:t xml:space="preserve"> of the general population.</w:t>
      </w:r>
      <w:r w:rsidRPr="0054190C">
        <w:rPr>
          <w:vertAlign w:val="superscript"/>
        </w:rPr>
        <w:footnoteReference w:id="95"/>
      </w:r>
      <w:r w:rsidRPr="00BB3B83">
        <w:rPr>
          <w:color w:val="000000"/>
          <w:sz w:val="24"/>
          <w:szCs w:val="24"/>
        </w:rPr>
        <w:t xml:space="preserve"> Women with disability consist of between 30 to 50</w:t>
      </w:r>
      <w:r>
        <w:rPr>
          <w:color w:val="000000"/>
          <w:sz w:val="24"/>
          <w:szCs w:val="24"/>
        </w:rPr>
        <w:t>%</w:t>
      </w:r>
      <w:r w:rsidRPr="00BB3B83">
        <w:rPr>
          <w:color w:val="000000"/>
          <w:sz w:val="24"/>
          <w:szCs w:val="24"/>
        </w:rPr>
        <w:t xml:space="preserve"> of the female prison population. Research also indicates that the percentage of women with disability in prisons is greater than men wit</w:t>
      </w:r>
      <w:r w:rsidR="003E23AD">
        <w:rPr>
          <w:color w:val="000000"/>
          <w:sz w:val="24"/>
          <w:szCs w:val="24"/>
        </w:rPr>
        <w:t xml:space="preserve">h disability and that </w:t>
      </w:r>
      <w:r w:rsidRPr="00BB3B83">
        <w:rPr>
          <w:color w:val="000000"/>
          <w:sz w:val="24"/>
          <w:szCs w:val="24"/>
        </w:rPr>
        <w:t>rates for women with disability from Aboriginal and Torres Strait Islander background is also higher than equivalent figures for men.</w:t>
      </w:r>
      <w:r w:rsidRPr="0054190C">
        <w:rPr>
          <w:vertAlign w:val="superscript"/>
        </w:rPr>
        <w:footnoteReference w:id="96"/>
      </w:r>
    </w:p>
    <w:p w:rsidR="001C1253" w:rsidRPr="00BB3B83" w:rsidRDefault="001C1253" w:rsidP="001C1253">
      <w:pPr>
        <w:pStyle w:val="ListParagraph"/>
        <w:rPr>
          <w:color w:val="000000"/>
          <w:sz w:val="24"/>
          <w:szCs w:val="24"/>
        </w:rPr>
      </w:pPr>
    </w:p>
    <w:p w:rsidR="001C1253" w:rsidRPr="00BB3B83" w:rsidRDefault="001C1253" w:rsidP="001C1253">
      <w:pPr>
        <w:pStyle w:val="ListParagraph"/>
        <w:numPr>
          <w:ilvl w:val="0"/>
          <w:numId w:val="35"/>
        </w:numPr>
        <w:spacing w:after="160" w:line="259" w:lineRule="auto"/>
        <w:ind w:left="426" w:hanging="426"/>
        <w:rPr>
          <w:rFonts w:eastAsia="Times New Roman" w:cs="Arial"/>
          <w:sz w:val="24"/>
          <w:szCs w:val="24"/>
          <w:shd w:val="clear" w:color="auto" w:fill="FFFFFF"/>
        </w:rPr>
      </w:pPr>
      <w:r w:rsidRPr="00BB3B83">
        <w:rPr>
          <w:color w:val="000000"/>
          <w:sz w:val="24"/>
          <w:szCs w:val="24"/>
        </w:rPr>
        <w:t>Aboriginal and Torres Strait Islander people with disability are almost 14 times more likely to be imprisoned than the rest of the population.</w:t>
      </w:r>
      <w:r w:rsidRPr="0054190C">
        <w:rPr>
          <w:vertAlign w:val="superscript"/>
        </w:rPr>
        <w:footnoteReference w:id="97"/>
      </w:r>
      <w:r w:rsidRPr="00BB3B83">
        <w:rPr>
          <w:color w:val="000000"/>
          <w:sz w:val="24"/>
          <w:szCs w:val="24"/>
        </w:rPr>
        <w:t xml:space="preserve"> Given that it is estimated that the incidence of disability in Aboriginal and Torres Strait Islander communities is twice that of the general community, it can be assumed that there is significant over-representation of Aboriginal and Torres Strait Islander people with disability in Australian prisons.</w:t>
      </w:r>
    </w:p>
    <w:p w:rsidR="001C1253" w:rsidRPr="00BB3B83" w:rsidRDefault="001C1253" w:rsidP="001C1253">
      <w:pPr>
        <w:pStyle w:val="ListParagraph"/>
        <w:rPr>
          <w:color w:val="000000"/>
          <w:sz w:val="24"/>
          <w:szCs w:val="24"/>
        </w:rPr>
      </w:pPr>
    </w:p>
    <w:p w:rsidR="001C1253" w:rsidRPr="005A7C8D" w:rsidRDefault="001C1253" w:rsidP="001C1253">
      <w:pPr>
        <w:pStyle w:val="ListParagraph"/>
        <w:numPr>
          <w:ilvl w:val="0"/>
          <w:numId w:val="35"/>
        </w:numPr>
        <w:spacing w:after="160" w:line="259" w:lineRule="auto"/>
        <w:ind w:left="426" w:hanging="426"/>
        <w:rPr>
          <w:rFonts w:eastAsia="Times New Roman" w:cs="Arial"/>
          <w:sz w:val="24"/>
          <w:szCs w:val="24"/>
          <w:shd w:val="clear" w:color="auto" w:fill="FFFFFF"/>
        </w:rPr>
      </w:pPr>
      <w:r w:rsidRPr="00BB3B83">
        <w:rPr>
          <w:color w:val="000000"/>
          <w:sz w:val="24"/>
          <w:szCs w:val="24"/>
        </w:rPr>
        <w:t>Available evidence from 2010 suggests that nearly “half the young people in New South Wales juvenile detention centres have an intellectual or ‘borderline’ intellectual disability”.</w:t>
      </w:r>
      <w:r w:rsidRPr="0054190C">
        <w:rPr>
          <w:vertAlign w:val="superscript"/>
        </w:rPr>
        <w:footnoteReference w:id="98"/>
      </w:r>
      <w:r w:rsidRPr="00BB3B83">
        <w:rPr>
          <w:color w:val="000000"/>
          <w:sz w:val="24"/>
          <w:szCs w:val="24"/>
        </w:rPr>
        <w:t xml:space="preserve"> A higher proportion of Aboriginal and Torres Strait Islander young people were represented in this group — 39</w:t>
      </w:r>
      <w:r>
        <w:rPr>
          <w:color w:val="000000"/>
          <w:sz w:val="24"/>
          <w:szCs w:val="24"/>
        </w:rPr>
        <w:t>%</w:t>
      </w:r>
      <w:r w:rsidRPr="00BB3B83">
        <w:rPr>
          <w:color w:val="000000"/>
          <w:sz w:val="24"/>
          <w:szCs w:val="24"/>
        </w:rPr>
        <w:t xml:space="preserve"> compared to 26</w:t>
      </w:r>
      <w:r>
        <w:rPr>
          <w:color w:val="000000"/>
          <w:sz w:val="24"/>
          <w:szCs w:val="24"/>
        </w:rPr>
        <w:t>%</w:t>
      </w:r>
      <w:r w:rsidRPr="00BB3B83">
        <w:rPr>
          <w:color w:val="000000"/>
          <w:sz w:val="24"/>
          <w:szCs w:val="24"/>
        </w:rPr>
        <w:t>.</w:t>
      </w:r>
      <w:r w:rsidRPr="0054190C">
        <w:rPr>
          <w:vertAlign w:val="superscript"/>
        </w:rPr>
        <w:footnoteReference w:id="99"/>
      </w:r>
      <w:r w:rsidRPr="00BB3B83">
        <w:rPr>
          <w:color w:val="000000"/>
          <w:sz w:val="24"/>
          <w:szCs w:val="24"/>
        </w:rPr>
        <w:t xml:space="preserve"> The majority of young people were found to have a ‘psychological condition’ (85</w:t>
      </w:r>
      <w:r>
        <w:rPr>
          <w:color w:val="000000"/>
          <w:sz w:val="24"/>
          <w:szCs w:val="24"/>
        </w:rPr>
        <w:t>%</w:t>
      </w:r>
      <w:r w:rsidRPr="00BB3B83">
        <w:rPr>
          <w:color w:val="000000"/>
          <w:sz w:val="24"/>
          <w:szCs w:val="24"/>
        </w:rPr>
        <w:t>), with two thirds (73</w:t>
      </w:r>
      <w:r>
        <w:rPr>
          <w:color w:val="000000"/>
          <w:sz w:val="24"/>
          <w:szCs w:val="24"/>
        </w:rPr>
        <w:t>%</w:t>
      </w:r>
      <w:r w:rsidRPr="00BB3B83">
        <w:rPr>
          <w:color w:val="000000"/>
          <w:sz w:val="24"/>
          <w:szCs w:val="24"/>
        </w:rPr>
        <w:t>) reporting two or more ‘psychological conditions’. There were a significantly higher proportion of young women and Aboriginal and Torres Strait islander young people in this group.</w:t>
      </w:r>
      <w:r w:rsidRPr="0054190C">
        <w:rPr>
          <w:vertAlign w:val="superscript"/>
        </w:rPr>
        <w:footnoteReference w:id="100"/>
      </w:r>
      <w:r w:rsidRPr="00BB3B83">
        <w:rPr>
          <w:color w:val="000000"/>
          <w:sz w:val="24"/>
          <w:szCs w:val="24"/>
        </w:rPr>
        <w:t xml:space="preserve"> The study also found that 32</w:t>
      </w:r>
      <w:r>
        <w:rPr>
          <w:color w:val="000000"/>
          <w:sz w:val="24"/>
          <w:szCs w:val="24"/>
        </w:rPr>
        <w:t>%</w:t>
      </w:r>
      <w:r w:rsidRPr="00BB3B83">
        <w:rPr>
          <w:color w:val="000000"/>
          <w:sz w:val="24"/>
          <w:szCs w:val="24"/>
        </w:rPr>
        <w:t xml:space="preserve"> of young people in New South Wales juvenile detention centres had a traumatic brain injury or a head injury, and that this incidence had increased significantly for young women since the previous survey in 2003 (from 6 to 33</w:t>
      </w:r>
      <w:r>
        <w:rPr>
          <w:color w:val="000000"/>
          <w:sz w:val="24"/>
          <w:szCs w:val="24"/>
        </w:rPr>
        <w:t>%</w:t>
      </w:r>
      <w:r w:rsidRPr="00BB3B83">
        <w:rPr>
          <w:color w:val="000000"/>
          <w:sz w:val="24"/>
          <w:szCs w:val="24"/>
        </w:rPr>
        <w:t>).</w:t>
      </w:r>
      <w:r w:rsidRPr="0054190C">
        <w:rPr>
          <w:vertAlign w:val="superscript"/>
        </w:rPr>
        <w:footnoteReference w:id="101"/>
      </w:r>
    </w:p>
    <w:p w:rsidR="001C1253" w:rsidRPr="005A7C8D" w:rsidRDefault="001C1253" w:rsidP="001C1253">
      <w:pPr>
        <w:pStyle w:val="ListParagraph"/>
        <w:rPr>
          <w:sz w:val="24"/>
          <w:szCs w:val="24"/>
        </w:rPr>
      </w:pPr>
    </w:p>
    <w:p w:rsidR="001C1253" w:rsidRPr="00C45F94" w:rsidRDefault="001C1253" w:rsidP="001C1253">
      <w:pPr>
        <w:pStyle w:val="ListParagraph"/>
        <w:numPr>
          <w:ilvl w:val="0"/>
          <w:numId w:val="35"/>
        </w:numPr>
        <w:spacing w:after="160" w:line="259" w:lineRule="auto"/>
        <w:ind w:left="426" w:hanging="426"/>
        <w:rPr>
          <w:rFonts w:eastAsia="Times New Roman" w:cs="Arial"/>
          <w:sz w:val="24"/>
          <w:szCs w:val="24"/>
          <w:shd w:val="clear" w:color="auto" w:fill="FFFFFF"/>
        </w:rPr>
      </w:pPr>
      <w:r w:rsidRPr="005A7C8D">
        <w:rPr>
          <w:sz w:val="24"/>
          <w:szCs w:val="24"/>
        </w:rPr>
        <w:t xml:space="preserve">Increased </w:t>
      </w:r>
      <w:r>
        <w:rPr>
          <w:sz w:val="24"/>
          <w:szCs w:val="24"/>
        </w:rPr>
        <w:t xml:space="preserve">and significantly resourced </w:t>
      </w:r>
      <w:r w:rsidRPr="005A7C8D">
        <w:rPr>
          <w:sz w:val="24"/>
          <w:szCs w:val="24"/>
        </w:rPr>
        <w:t xml:space="preserve">efforts must be made by the Commonwealth and all State and </w:t>
      </w:r>
      <w:r w:rsidRPr="00C45F94">
        <w:rPr>
          <w:sz w:val="24"/>
          <w:szCs w:val="24"/>
        </w:rPr>
        <w:t>Territory governments to provide adequate health care and adequate disability support, including early intervention supports, so that people with cognitive impairments and/or psychosocial disability especially those from an Aborig</w:t>
      </w:r>
      <w:r w:rsidR="007E1DD6">
        <w:rPr>
          <w:sz w:val="24"/>
          <w:szCs w:val="24"/>
        </w:rPr>
        <w:t xml:space="preserve">inal and Torres Strait Islander </w:t>
      </w:r>
      <w:r w:rsidRPr="00C45F94">
        <w:rPr>
          <w:sz w:val="24"/>
          <w:szCs w:val="24"/>
        </w:rPr>
        <w:t xml:space="preserve">background are supported to participate socially and economically as opposed to living on the margins experiencing high levels of violence, isolation and criminal behaviour. </w:t>
      </w:r>
    </w:p>
    <w:p w:rsidR="001C1253" w:rsidRPr="00C45F94" w:rsidRDefault="001C1253" w:rsidP="001C1253">
      <w:pPr>
        <w:pStyle w:val="ListParagraph"/>
        <w:numPr>
          <w:ilvl w:val="0"/>
          <w:numId w:val="35"/>
        </w:numPr>
        <w:spacing w:after="160" w:line="259" w:lineRule="auto"/>
        <w:ind w:left="426" w:hanging="426"/>
        <w:rPr>
          <w:rFonts w:eastAsia="Times New Roman" w:cs="Arial"/>
          <w:sz w:val="24"/>
          <w:szCs w:val="24"/>
          <w:shd w:val="clear" w:color="auto" w:fill="FFFFFF"/>
        </w:rPr>
      </w:pPr>
      <w:r w:rsidRPr="00C45F94">
        <w:rPr>
          <w:sz w:val="24"/>
          <w:szCs w:val="24"/>
        </w:rPr>
        <w:lastRenderedPageBreak/>
        <w:t>Only some Australian governments have established court diversion programs that provide interventions and supports to people with disability to prevent unnecessary contact with the criminal justice system. Inappropriate and unnecessary contact with the criminal justice system often leads to multiple offences, fines and incarceration.</w:t>
      </w:r>
      <w:r w:rsidRPr="00C45F94">
        <w:rPr>
          <w:sz w:val="24"/>
          <w:szCs w:val="24"/>
          <w:vertAlign w:val="superscript"/>
        </w:rPr>
        <w:footnoteReference w:id="102"/>
      </w:r>
      <w:r w:rsidRPr="00C45F94">
        <w:rPr>
          <w:sz w:val="24"/>
          <w:szCs w:val="24"/>
        </w:rPr>
        <w:t xml:space="preserve"> Examples of programs that focus on intensive support, investment and diversion of people with cognitive impairment and/or psychosocial disability from the justice system include the NSW I</w:t>
      </w:r>
      <w:r>
        <w:rPr>
          <w:sz w:val="24"/>
          <w:szCs w:val="24"/>
        </w:rPr>
        <w:t>ntegrated Services Project (ISP), the NSW Court Referral of E</w:t>
      </w:r>
      <w:r w:rsidRPr="00C45F94">
        <w:rPr>
          <w:sz w:val="24"/>
          <w:szCs w:val="24"/>
        </w:rPr>
        <w:t>ligible Defendants into Treatment (CREDIT) Program, and the Victorian Court Integrated Services Program (CISP).</w:t>
      </w:r>
    </w:p>
    <w:p w:rsidR="001C1253" w:rsidRPr="00BB3B83" w:rsidRDefault="001C1253" w:rsidP="001C1253">
      <w:pPr>
        <w:pStyle w:val="ListParagraph"/>
        <w:rPr>
          <w:sz w:val="24"/>
          <w:szCs w:val="24"/>
        </w:rPr>
      </w:pPr>
    </w:p>
    <w:p w:rsidR="001C1253" w:rsidRPr="00BB3B83" w:rsidRDefault="001C1253" w:rsidP="001C1253">
      <w:pPr>
        <w:pStyle w:val="ListParagraph"/>
        <w:numPr>
          <w:ilvl w:val="0"/>
          <w:numId w:val="35"/>
        </w:numPr>
        <w:spacing w:after="160" w:line="259" w:lineRule="auto"/>
        <w:ind w:left="426" w:hanging="426"/>
        <w:rPr>
          <w:rFonts w:eastAsia="Times New Roman" w:cs="Arial"/>
          <w:sz w:val="24"/>
          <w:szCs w:val="24"/>
          <w:shd w:val="clear" w:color="auto" w:fill="FFFFFF"/>
        </w:rPr>
      </w:pPr>
      <w:r w:rsidRPr="00BB3B83">
        <w:rPr>
          <w:sz w:val="24"/>
          <w:szCs w:val="24"/>
        </w:rPr>
        <w:t>Research suggests that not only do programs such as these result in “a large proportion of clients say[</w:t>
      </w:r>
      <w:proofErr w:type="spellStart"/>
      <w:r w:rsidRPr="00BB3B83">
        <w:rPr>
          <w:sz w:val="24"/>
          <w:szCs w:val="24"/>
        </w:rPr>
        <w:t>ing</w:t>
      </w:r>
      <w:proofErr w:type="spellEnd"/>
      <w:r w:rsidRPr="00BB3B83">
        <w:rPr>
          <w:sz w:val="24"/>
          <w:szCs w:val="24"/>
        </w:rPr>
        <w:t>] that their life is changed for the better by the program, a reduction in recidivism has been observed.’’</w:t>
      </w:r>
      <w:r w:rsidRPr="0054190C">
        <w:rPr>
          <w:rStyle w:val="FootnoteReference"/>
          <w:sz w:val="24"/>
          <w:szCs w:val="24"/>
        </w:rPr>
        <w:footnoteReference w:id="103"/>
      </w:r>
      <w:r w:rsidRPr="00BB3B83">
        <w:rPr>
          <w:sz w:val="24"/>
          <w:szCs w:val="24"/>
        </w:rPr>
        <w:t xml:space="preserve"> Evidence collected from the NSW ISP program concluded that while on the ISP clients number of hospital days reduced by an average of 90%, while the number of days in custody reduced by an average on 94%.</w:t>
      </w:r>
      <w:r w:rsidRPr="0054190C">
        <w:rPr>
          <w:rStyle w:val="FootnoteReference"/>
          <w:sz w:val="24"/>
          <w:szCs w:val="24"/>
        </w:rPr>
        <w:footnoteReference w:id="104"/>
      </w:r>
    </w:p>
    <w:p w:rsidR="001C1253" w:rsidRPr="00BB3B83" w:rsidRDefault="001C1253" w:rsidP="001C1253">
      <w:pPr>
        <w:pStyle w:val="ListParagraph"/>
        <w:rPr>
          <w:sz w:val="24"/>
          <w:szCs w:val="24"/>
        </w:rPr>
      </w:pPr>
    </w:p>
    <w:p w:rsidR="001C1253" w:rsidRPr="00BB3B83" w:rsidRDefault="001C1253" w:rsidP="001C1253">
      <w:pPr>
        <w:pStyle w:val="ListParagraph"/>
        <w:numPr>
          <w:ilvl w:val="0"/>
          <w:numId w:val="35"/>
        </w:numPr>
        <w:spacing w:after="160" w:line="259" w:lineRule="auto"/>
        <w:ind w:left="426" w:hanging="426"/>
        <w:rPr>
          <w:rFonts w:eastAsia="Times New Roman" w:cs="Arial"/>
          <w:sz w:val="24"/>
          <w:szCs w:val="24"/>
          <w:shd w:val="clear" w:color="auto" w:fill="FFFFFF"/>
        </w:rPr>
      </w:pPr>
      <w:r w:rsidRPr="00BB3B83">
        <w:rPr>
          <w:sz w:val="24"/>
          <w:szCs w:val="24"/>
        </w:rPr>
        <w:t xml:space="preserve">The National Disability Insurance Scheme (NDIS) </w:t>
      </w:r>
      <w:r w:rsidR="00BD4270">
        <w:rPr>
          <w:sz w:val="24"/>
          <w:szCs w:val="24"/>
        </w:rPr>
        <w:t xml:space="preserve">should have a critical role </w:t>
      </w:r>
      <w:r w:rsidRPr="00BB3B83">
        <w:rPr>
          <w:sz w:val="24"/>
          <w:szCs w:val="24"/>
        </w:rPr>
        <w:t>in reaching marginalised people</w:t>
      </w:r>
      <w:r w:rsidR="00BD4270">
        <w:rPr>
          <w:sz w:val="24"/>
          <w:szCs w:val="24"/>
        </w:rPr>
        <w:t>,</w:t>
      </w:r>
      <w:r w:rsidRPr="00BB3B83">
        <w:rPr>
          <w:sz w:val="24"/>
          <w:szCs w:val="24"/>
        </w:rPr>
        <w:t xml:space="preserve"> such as those with cognitive impairment and/or psychosocial disability at risk of coming into contact with the criminal justice system or experiencing repeated involun</w:t>
      </w:r>
      <w:r w:rsidR="00BD4270">
        <w:rPr>
          <w:sz w:val="24"/>
          <w:szCs w:val="24"/>
        </w:rPr>
        <w:t>tary treatment orders</w:t>
      </w:r>
      <w:r w:rsidRPr="00BB3B83">
        <w:rPr>
          <w:sz w:val="24"/>
          <w:szCs w:val="24"/>
        </w:rPr>
        <w:t xml:space="preserve">. Considerable outreach needs to be done to ensure that the NDIS </w:t>
      </w:r>
      <w:r>
        <w:rPr>
          <w:sz w:val="24"/>
          <w:szCs w:val="24"/>
        </w:rPr>
        <w:t>serves</w:t>
      </w:r>
      <w:r w:rsidRPr="00BB3B83">
        <w:rPr>
          <w:sz w:val="24"/>
          <w:szCs w:val="24"/>
        </w:rPr>
        <w:t xml:space="preserve"> this cohort, and that their support plans are developed in a way that recognises their heightened risk of depriv</w:t>
      </w:r>
      <w:r w:rsidR="00BD4270">
        <w:rPr>
          <w:sz w:val="24"/>
          <w:szCs w:val="24"/>
        </w:rPr>
        <w:t>ation of liberty. The NDIA and S</w:t>
      </w:r>
      <w:r w:rsidRPr="00BB3B83">
        <w:rPr>
          <w:sz w:val="24"/>
          <w:szCs w:val="24"/>
        </w:rPr>
        <w:t xml:space="preserve">tate and </w:t>
      </w:r>
      <w:r w:rsidR="00BD4270">
        <w:rPr>
          <w:sz w:val="24"/>
          <w:szCs w:val="24"/>
        </w:rPr>
        <w:t>T</w:t>
      </w:r>
      <w:r w:rsidRPr="00BB3B83">
        <w:rPr>
          <w:sz w:val="24"/>
          <w:szCs w:val="24"/>
        </w:rPr>
        <w:t xml:space="preserve">erritory </w:t>
      </w:r>
      <w:r w:rsidR="00BD4270">
        <w:rPr>
          <w:sz w:val="24"/>
          <w:szCs w:val="24"/>
        </w:rPr>
        <w:t xml:space="preserve">justice </w:t>
      </w:r>
      <w:r w:rsidRPr="00BB3B83">
        <w:rPr>
          <w:sz w:val="24"/>
          <w:szCs w:val="24"/>
        </w:rPr>
        <w:t xml:space="preserve">departments </w:t>
      </w:r>
      <w:r>
        <w:rPr>
          <w:sz w:val="24"/>
          <w:szCs w:val="24"/>
        </w:rPr>
        <w:t xml:space="preserve">must </w:t>
      </w:r>
      <w:r w:rsidRPr="00BB3B83">
        <w:rPr>
          <w:sz w:val="24"/>
          <w:szCs w:val="24"/>
        </w:rPr>
        <w:t>work together to develop a strategy for correctional facilities to identify people with disability whilst they are in detention so that they can become participants of the NDIS (where eligible) and develop their Plan</w:t>
      </w:r>
      <w:r w:rsidR="00BD4270">
        <w:rPr>
          <w:sz w:val="24"/>
          <w:szCs w:val="24"/>
        </w:rPr>
        <w:t>s</w:t>
      </w:r>
      <w:r w:rsidRPr="00BB3B83">
        <w:rPr>
          <w:sz w:val="24"/>
          <w:szCs w:val="24"/>
        </w:rPr>
        <w:t xml:space="preserve"> before they are released back in to the community.  </w:t>
      </w:r>
      <w:r w:rsidR="00EA492E">
        <w:rPr>
          <w:sz w:val="24"/>
          <w:szCs w:val="24"/>
        </w:rPr>
        <w:t>If a</w:t>
      </w:r>
      <w:r w:rsidRPr="00BB3B83">
        <w:rPr>
          <w:sz w:val="24"/>
          <w:szCs w:val="24"/>
        </w:rPr>
        <w:t xml:space="preserve"> person</w:t>
      </w:r>
      <w:r w:rsidR="00BD4270">
        <w:rPr>
          <w:sz w:val="24"/>
          <w:szCs w:val="24"/>
        </w:rPr>
        <w:t>’</w:t>
      </w:r>
      <w:r w:rsidRPr="00BB3B83">
        <w:rPr>
          <w:sz w:val="24"/>
          <w:szCs w:val="24"/>
        </w:rPr>
        <w:t xml:space="preserve">s NDIS plan </w:t>
      </w:r>
      <w:r w:rsidR="00EA492E">
        <w:rPr>
          <w:sz w:val="24"/>
          <w:szCs w:val="24"/>
        </w:rPr>
        <w:t xml:space="preserve">is </w:t>
      </w:r>
      <w:r w:rsidRPr="00BB3B83">
        <w:rPr>
          <w:sz w:val="24"/>
          <w:szCs w:val="24"/>
        </w:rPr>
        <w:t xml:space="preserve">suspended while they are </w:t>
      </w:r>
      <w:r>
        <w:rPr>
          <w:sz w:val="24"/>
          <w:szCs w:val="24"/>
        </w:rPr>
        <w:t xml:space="preserve">under the control of a </w:t>
      </w:r>
      <w:r w:rsidRPr="00BB3B83">
        <w:rPr>
          <w:sz w:val="24"/>
          <w:szCs w:val="24"/>
        </w:rPr>
        <w:t xml:space="preserve">prison, hospital or psychiatric facility, </w:t>
      </w:r>
      <w:r w:rsidR="00EA492E">
        <w:rPr>
          <w:sz w:val="24"/>
          <w:szCs w:val="24"/>
        </w:rPr>
        <w:t xml:space="preserve">the NDIS plan </w:t>
      </w:r>
      <w:r w:rsidRPr="00BB3B83">
        <w:rPr>
          <w:sz w:val="24"/>
          <w:szCs w:val="24"/>
        </w:rPr>
        <w:t>must be reviewed and resume</w:t>
      </w:r>
      <w:r>
        <w:rPr>
          <w:sz w:val="24"/>
          <w:szCs w:val="24"/>
        </w:rPr>
        <w:t>d</w:t>
      </w:r>
      <w:r w:rsidRPr="00BB3B83">
        <w:rPr>
          <w:sz w:val="24"/>
          <w:szCs w:val="24"/>
        </w:rPr>
        <w:t xml:space="preserve"> immediately on their release so that they receive the supports they </w:t>
      </w:r>
      <w:r>
        <w:rPr>
          <w:sz w:val="24"/>
          <w:szCs w:val="24"/>
        </w:rPr>
        <w:t>are entitled to.</w:t>
      </w:r>
      <w:r w:rsidRPr="00BB3B83">
        <w:rPr>
          <w:sz w:val="24"/>
          <w:szCs w:val="24"/>
        </w:rPr>
        <w:t xml:space="preserve"> </w:t>
      </w:r>
      <w:r>
        <w:rPr>
          <w:sz w:val="24"/>
          <w:szCs w:val="24"/>
        </w:rPr>
        <w:t xml:space="preserve"> It is also essential that people with disability have access to independent advoca</w:t>
      </w:r>
      <w:r w:rsidR="00BD4270">
        <w:rPr>
          <w:sz w:val="24"/>
          <w:szCs w:val="24"/>
        </w:rPr>
        <w:t>cy</w:t>
      </w:r>
      <w:r>
        <w:rPr>
          <w:sz w:val="24"/>
          <w:szCs w:val="24"/>
        </w:rPr>
        <w:t xml:space="preserve"> support to assist them during these processes.</w:t>
      </w:r>
    </w:p>
    <w:p w:rsidR="001C1253" w:rsidRPr="00EA492E" w:rsidRDefault="001C1253" w:rsidP="00EA492E">
      <w:pPr>
        <w:pStyle w:val="Heading2"/>
        <w:spacing w:after="120"/>
        <w:ind w:firstLine="425"/>
        <w:rPr>
          <w:color w:val="1F497D" w:themeColor="text2"/>
        </w:rPr>
      </w:pPr>
      <w:r w:rsidRPr="00EA492E">
        <w:rPr>
          <w:color w:val="1F497D" w:themeColor="text2"/>
        </w:rPr>
        <w:t xml:space="preserve">Treatment not punishment </w:t>
      </w:r>
    </w:p>
    <w:p w:rsidR="001C1253" w:rsidRPr="00A95525" w:rsidRDefault="001C1253" w:rsidP="001C1253">
      <w:pPr>
        <w:pStyle w:val="ListParagraph"/>
        <w:numPr>
          <w:ilvl w:val="0"/>
          <w:numId w:val="35"/>
        </w:numPr>
        <w:spacing w:after="160" w:line="259" w:lineRule="auto"/>
        <w:ind w:left="426" w:hanging="426"/>
        <w:rPr>
          <w:rFonts w:eastAsia="Times New Roman" w:cs="Arial"/>
          <w:sz w:val="24"/>
          <w:szCs w:val="24"/>
          <w:shd w:val="clear" w:color="auto" w:fill="FFFFFF"/>
        </w:rPr>
      </w:pPr>
      <w:r w:rsidRPr="00BB3B83">
        <w:rPr>
          <w:sz w:val="24"/>
          <w:szCs w:val="24"/>
        </w:rPr>
        <w:t xml:space="preserve">People with cognitive impairment and/or psychosocial disability </w:t>
      </w:r>
      <w:r w:rsidR="00DB7FC4" w:rsidRPr="00BB3B83">
        <w:rPr>
          <w:sz w:val="24"/>
          <w:szCs w:val="24"/>
        </w:rPr>
        <w:t xml:space="preserve">must receive </w:t>
      </w:r>
      <w:r w:rsidR="00DB7FC4">
        <w:rPr>
          <w:sz w:val="24"/>
          <w:szCs w:val="24"/>
        </w:rPr>
        <w:t xml:space="preserve">quality, effective </w:t>
      </w:r>
      <w:r w:rsidR="00A22094">
        <w:rPr>
          <w:sz w:val="24"/>
          <w:szCs w:val="24"/>
        </w:rPr>
        <w:t xml:space="preserve">and appropriate </w:t>
      </w:r>
      <w:r w:rsidR="00DB7FC4">
        <w:rPr>
          <w:sz w:val="24"/>
          <w:szCs w:val="24"/>
        </w:rPr>
        <w:t xml:space="preserve">treatment, rehabilitation and supports while in detention (in the case of those </w:t>
      </w:r>
      <w:r w:rsidRPr="00BB3B83">
        <w:rPr>
          <w:sz w:val="24"/>
          <w:szCs w:val="24"/>
        </w:rPr>
        <w:t>subject to forensic treatment orders</w:t>
      </w:r>
      <w:r w:rsidR="00DB7FC4">
        <w:rPr>
          <w:sz w:val="24"/>
          <w:szCs w:val="24"/>
        </w:rPr>
        <w:t>)</w:t>
      </w:r>
      <w:r w:rsidRPr="00BB3B83">
        <w:rPr>
          <w:sz w:val="24"/>
          <w:szCs w:val="24"/>
        </w:rPr>
        <w:t xml:space="preserve"> or </w:t>
      </w:r>
      <w:r w:rsidR="00DB7FC4">
        <w:rPr>
          <w:sz w:val="24"/>
          <w:szCs w:val="24"/>
        </w:rPr>
        <w:t xml:space="preserve">in the community (in the case of those </w:t>
      </w:r>
      <w:r w:rsidRPr="00BB3B83">
        <w:rPr>
          <w:sz w:val="24"/>
          <w:szCs w:val="24"/>
        </w:rPr>
        <w:t>found unfit to plead</w:t>
      </w:r>
      <w:r w:rsidR="00A22094">
        <w:rPr>
          <w:sz w:val="24"/>
          <w:szCs w:val="24"/>
        </w:rPr>
        <w:t>).</w:t>
      </w:r>
      <w:r w:rsidRPr="00BB3B83">
        <w:rPr>
          <w:sz w:val="24"/>
          <w:szCs w:val="24"/>
        </w:rPr>
        <w:t xml:space="preserve">  </w:t>
      </w:r>
      <w:r w:rsidR="00A22094">
        <w:rPr>
          <w:sz w:val="24"/>
          <w:szCs w:val="24"/>
        </w:rPr>
        <w:t xml:space="preserve">Given they have </w:t>
      </w:r>
      <w:r w:rsidRPr="00BB3B83">
        <w:rPr>
          <w:sz w:val="24"/>
          <w:szCs w:val="24"/>
        </w:rPr>
        <w:t>not been found guilty of a crime</w:t>
      </w:r>
      <w:r w:rsidR="00A22094">
        <w:rPr>
          <w:sz w:val="24"/>
          <w:szCs w:val="24"/>
        </w:rPr>
        <w:t xml:space="preserve">, the focus should not be on punishment.  </w:t>
      </w:r>
    </w:p>
    <w:p w:rsidR="001C1253" w:rsidRPr="00A22094" w:rsidRDefault="001C1253" w:rsidP="00A22094">
      <w:pPr>
        <w:pStyle w:val="Heading2"/>
        <w:spacing w:after="120"/>
        <w:ind w:firstLine="425"/>
        <w:rPr>
          <w:color w:val="1F497D" w:themeColor="text2"/>
        </w:rPr>
      </w:pPr>
      <w:r w:rsidRPr="00A22094">
        <w:rPr>
          <w:color w:val="1F497D" w:themeColor="text2"/>
        </w:rPr>
        <w:lastRenderedPageBreak/>
        <w:t>Ending indefinite mandatory detention of asylum seekers</w:t>
      </w:r>
    </w:p>
    <w:p w:rsidR="001C1253" w:rsidRPr="006932CB" w:rsidRDefault="001C1253" w:rsidP="00097488">
      <w:pPr>
        <w:pStyle w:val="ListParagraph"/>
        <w:numPr>
          <w:ilvl w:val="0"/>
          <w:numId w:val="35"/>
        </w:numPr>
        <w:spacing w:after="0" w:line="259" w:lineRule="auto"/>
        <w:ind w:left="425" w:hanging="425"/>
        <w:contextualSpacing w:val="0"/>
        <w:rPr>
          <w:rFonts w:eastAsia="Times New Roman" w:cs="Arial"/>
          <w:sz w:val="24"/>
          <w:szCs w:val="24"/>
          <w:shd w:val="clear" w:color="auto" w:fill="FFFFFF"/>
        </w:rPr>
      </w:pPr>
      <w:r w:rsidRPr="00BB3B83">
        <w:rPr>
          <w:rFonts w:cs="Arial"/>
          <w:color w:val="000000"/>
          <w:sz w:val="24"/>
          <w:szCs w:val="24"/>
        </w:rPr>
        <w:t xml:space="preserve">The current conditions facing detainees in indefinite mandatory immigration detention raise serious concerns with respect to Australia’s obligation to ensure people with disability, </w:t>
      </w:r>
      <w:r w:rsidR="00BB3435">
        <w:rPr>
          <w:rFonts w:cs="Arial"/>
          <w:color w:val="000000"/>
          <w:sz w:val="24"/>
          <w:szCs w:val="24"/>
        </w:rPr>
        <w:t>p</w:t>
      </w:r>
      <w:r w:rsidRPr="00BB3B83">
        <w:rPr>
          <w:rFonts w:cs="Arial"/>
          <w:color w:val="000000"/>
          <w:sz w:val="24"/>
          <w:szCs w:val="24"/>
        </w:rPr>
        <w:t>articularly those with cognitive impairment and/or psychosocial disability are not subject to cruel, inhuman or degrading</w:t>
      </w:r>
      <w:r>
        <w:rPr>
          <w:rFonts w:cs="Arial"/>
          <w:color w:val="000000"/>
          <w:sz w:val="24"/>
          <w:szCs w:val="24"/>
        </w:rPr>
        <w:t xml:space="preserve"> </w:t>
      </w:r>
      <w:r w:rsidRPr="00BB3B83">
        <w:rPr>
          <w:rFonts w:cs="Arial"/>
          <w:color w:val="000000"/>
          <w:sz w:val="24"/>
          <w:szCs w:val="24"/>
        </w:rPr>
        <w:t xml:space="preserve">conditions.  </w:t>
      </w:r>
      <w:r w:rsidR="009654E4">
        <w:rPr>
          <w:rFonts w:cs="Arial"/>
          <w:color w:val="000000"/>
          <w:sz w:val="24"/>
          <w:szCs w:val="24"/>
        </w:rPr>
        <w:t xml:space="preserve">Mandatory detention of asylum seekers </w:t>
      </w:r>
      <w:r w:rsidR="00BB3435">
        <w:rPr>
          <w:rFonts w:cs="Arial"/>
          <w:color w:val="000000"/>
          <w:sz w:val="24"/>
          <w:szCs w:val="24"/>
        </w:rPr>
        <w:t>can</w:t>
      </w:r>
      <w:r w:rsidR="009654E4">
        <w:rPr>
          <w:rFonts w:cs="Arial"/>
          <w:color w:val="000000"/>
          <w:sz w:val="24"/>
          <w:szCs w:val="24"/>
        </w:rPr>
        <w:t xml:space="preserve"> also le</w:t>
      </w:r>
      <w:r w:rsidR="00BB3435">
        <w:rPr>
          <w:rFonts w:cs="Arial"/>
          <w:color w:val="000000"/>
          <w:sz w:val="24"/>
          <w:szCs w:val="24"/>
        </w:rPr>
        <w:t>ad</w:t>
      </w:r>
      <w:r w:rsidR="009654E4">
        <w:rPr>
          <w:rFonts w:cs="Arial"/>
          <w:color w:val="000000"/>
          <w:sz w:val="24"/>
          <w:szCs w:val="24"/>
        </w:rPr>
        <w:t xml:space="preserve"> to the develop</w:t>
      </w:r>
      <w:r w:rsidR="00BB3435">
        <w:rPr>
          <w:rFonts w:cs="Arial"/>
          <w:color w:val="000000"/>
          <w:sz w:val="24"/>
          <w:szCs w:val="24"/>
        </w:rPr>
        <w:t>ment of psychosocial disability, either while in detention or as a result of this detention.</w:t>
      </w:r>
      <w:r w:rsidRPr="0054190C">
        <w:rPr>
          <w:rFonts w:cs="Arial"/>
          <w:color w:val="000000"/>
          <w:vertAlign w:val="superscript"/>
        </w:rPr>
        <w:footnoteReference w:id="105"/>
      </w:r>
      <w:r w:rsidR="00BB3435">
        <w:rPr>
          <w:rFonts w:cs="Arial"/>
          <w:color w:val="000000"/>
          <w:sz w:val="24"/>
          <w:szCs w:val="24"/>
        </w:rPr>
        <w:t xml:space="preserve"> </w:t>
      </w:r>
      <w:r w:rsidRPr="00BB3B83">
        <w:rPr>
          <w:rFonts w:cs="Arial"/>
          <w:color w:val="000000"/>
          <w:sz w:val="24"/>
          <w:szCs w:val="24"/>
        </w:rPr>
        <w:t xml:space="preserve"> Australia remains under an obligation to provide reasonable accommodation to people with cognitive impairment and/or psychosocial disability in all places of detention under their control and this would include </w:t>
      </w:r>
      <w:r w:rsidR="00BB3435">
        <w:rPr>
          <w:rFonts w:cs="Arial"/>
          <w:color w:val="000000"/>
          <w:sz w:val="24"/>
          <w:szCs w:val="24"/>
        </w:rPr>
        <w:t xml:space="preserve">onshore and </w:t>
      </w:r>
      <w:r w:rsidRPr="00BB3B83">
        <w:rPr>
          <w:rFonts w:cs="Arial"/>
          <w:color w:val="000000"/>
          <w:sz w:val="24"/>
          <w:szCs w:val="24"/>
        </w:rPr>
        <w:t xml:space="preserve">offshore detention facilities. </w:t>
      </w:r>
    </w:p>
    <w:p w:rsidR="00097488" w:rsidRDefault="00097488" w:rsidP="00097488">
      <w:pPr>
        <w:pStyle w:val="Heading1"/>
        <w:spacing w:before="0"/>
        <w:rPr>
          <w:color w:val="1F497D" w:themeColor="text2"/>
        </w:rPr>
      </w:pPr>
    </w:p>
    <w:p w:rsidR="001C1253" w:rsidRPr="00F236C7" w:rsidRDefault="001C1253" w:rsidP="00373ED4">
      <w:pPr>
        <w:pStyle w:val="Heading1"/>
        <w:spacing w:before="0" w:after="200"/>
        <w:rPr>
          <w:rFonts w:ascii="Arial" w:hAnsi="Arial" w:cs="Arial"/>
          <w:color w:val="1F497D" w:themeColor="text2"/>
        </w:rPr>
      </w:pPr>
      <w:r w:rsidRPr="00F236C7">
        <w:rPr>
          <w:rFonts w:ascii="Arial" w:hAnsi="Arial" w:cs="Arial"/>
          <w:color w:val="1F497D" w:themeColor="text2"/>
        </w:rPr>
        <w:t xml:space="preserve">Conclusion </w:t>
      </w:r>
    </w:p>
    <w:p w:rsidR="00F236C7" w:rsidRPr="00F236C7" w:rsidRDefault="00156B6A" w:rsidP="00097488">
      <w:pPr>
        <w:pStyle w:val="ListParagraph"/>
        <w:numPr>
          <w:ilvl w:val="0"/>
          <w:numId w:val="35"/>
        </w:numPr>
        <w:spacing w:after="0" w:line="240" w:lineRule="auto"/>
        <w:ind w:left="426" w:hanging="426"/>
        <w:jc w:val="both"/>
        <w:rPr>
          <w:rFonts w:eastAsia="Times New Roman" w:cs="Arial"/>
          <w:sz w:val="24"/>
          <w:szCs w:val="24"/>
        </w:rPr>
      </w:pPr>
      <w:r w:rsidRPr="0054190C">
        <w:rPr>
          <w:color w:val="000000"/>
          <w:sz w:val="24"/>
          <w:szCs w:val="24"/>
        </w:rPr>
        <w:t xml:space="preserve">People with disability in Australia represent the most detained sector of our population; disproportionality prevalent in our prisons, institutionalised within our communities, hospitalised </w:t>
      </w:r>
      <w:r>
        <w:rPr>
          <w:color w:val="000000"/>
          <w:sz w:val="24"/>
          <w:szCs w:val="24"/>
        </w:rPr>
        <w:t xml:space="preserve">and confined </w:t>
      </w:r>
      <w:r w:rsidRPr="0054190C">
        <w:rPr>
          <w:color w:val="000000"/>
          <w:sz w:val="24"/>
          <w:szCs w:val="24"/>
        </w:rPr>
        <w:t>in psychiatric wards</w:t>
      </w:r>
      <w:r>
        <w:rPr>
          <w:color w:val="000000"/>
          <w:sz w:val="24"/>
          <w:szCs w:val="24"/>
        </w:rPr>
        <w:t xml:space="preserve"> and indefinitely detained in detention centres</w:t>
      </w:r>
      <w:r w:rsidR="00F236C7">
        <w:rPr>
          <w:color w:val="000000"/>
          <w:sz w:val="24"/>
          <w:szCs w:val="24"/>
        </w:rPr>
        <w:t>, including immigration detention</w:t>
      </w:r>
      <w:r>
        <w:rPr>
          <w:color w:val="000000"/>
          <w:sz w:val="24"/>
          <w:szCs w:val="24"/>
        </w:rPr>
        <w:t>.</w:t>
      </w:r>
      <w:r>
        <w:rPr>
          <w:rStyle w:val="FootnoteReference"/>
          <w:color w:val="000000"/>
          <w:sz w:val="24"/>
          <w:szCs w:val="24"/>
        </w:rPr>
        <w:footnoteReference w:id="106"/>
      </w:r>
      <w:r w:rsidRPr="0054190C">
        <w:rPr>
          <w:color w:val="000000"/>
          <w:sz w:val="24"/>
          <w:szCs w:val="24"/>
        </w:rPr>
        <w:t xml:space="preserve"> </w:t>
      </w:r>
    </w:p>
    <w:p w:rsidR="00F236C7" w:rsidRPr="00F236C7" w:rsidRDefault="00F236C7" w:rsidP="00F236C7">
      <w:pPr>
        <w:pStyle w:val="ListParagraph"/>
        <w:spacing w:after="0" w:line="240" w:lineRule="auto"/>
        <w:ind w:left="426"/>
        <w:jc w:val="both"/>
        <w:rPr>
          <w:rFonts w:eastAsia="Times New Roman" w:cs="Arial"/>
          <w:sz w:val="24"/>
          <w:szCs w:val="24"/>
        </w:rPr>
      </w:pPr>
    </w:p>
    <w:p w:rsidR="00F236C7" w:rsidRPr="00F236C7" w:rsidRDefault="00156B6A" w:rsidP="00097488">
      <w:pPr>
        <w:pStyle w:val="ListParagraph"/>
        <w:numPr>
          <w:ilvl w:val="0"/>
          <w:numId w:val="35"/>
        </w:numPr>
        <w:spacing w:after="0" w:line="240" w:lineRule="auto"/>
        <w:ind w:left="426" w:hanging="426"/>
        <w:jc w:val="both"/>
        <w:rPr>
          <w:rFonts w:eastAsia="Times New Roman" w:cs="Arial"/>
          <w:sz w:val="24"/>
          <w:szCs w:val="24"/>
        </w:rPr>
      </w:pPr>
      <w:r w:rsidRPr="0054190C">
        <w:rPr>
          <w:color w:val="000000"/>
          <w:sz w:val="24"/>
          <w:szCs w:val="24"/>
        </w:rPr>
        <w:t xml:space="preserve">Unaddressed and wide-ranging systemic failures in our criminal justice and disability service systems facilitate conditions that give rise to ill-treatment of people with disability, particularly those with cognitive impairment and/or psychosocial disability </w:t>
      </w:r>
      <w:r>
        <w:rPr>
          <w:color w:val="000000"/>
          <w:sz w:val="24"/>
          <w:szCs w:val="24"/>
        </w:rPr>
        <w:t xml:space="preserve">who experience </w:t>
      </w:r>
      <w:r w:rsidRPr="0054190C">
        <w:rPr>
          <w:color w:val="000000"/>
          <w:sz w:val="24"/>
          <w:szCs w:val="24"/>
        </w:rPr>
        <w:t>indefinite det</w:t>
      </w:r>
      <w:r>
        <w:rPr>
          <w:color w:val="000000"/>
          <w:sz w:val="24"/>
          <w:szCs w:val="24"/>
        </w:rPr>
        <w:t xml:space="preserve">ention. </w:t>
      </w:r>
      <w:r w:rsidRPr="0054190C">
        <w:rPr>
          <w:color w:val="000000"/>
          <w:sz w:val="24"/>
          <w:szCs w:val="24"/>
        </w:rPr>
        <w:t xml:space="preserve">This is compounded by guardianship and mental health laws which deny legal capacity and provide a gateway through which further abusive practices can occur. </w:t>
      </w:r>
    </w:p>
    <w:p w:rsidR="00F236C7" w:rsidRPr="00F236C7" w:rsidRDefault="00F236C7" w:rsidP="00F236C7">
      <w:pPr>
        <w:pStyle w:val="ListParagraph"/>
        <w:rPr>
          <w:color w:val="000000"/>
          <w:sz w:val="24"/>
          <w:szCs w:val="24"/>
        </w:rPr>
      </w:pPr>
    </w:p>
    <w:p w:rsidR="00F236C7" w:rsidRPr="00F236C7" w:rsidRDefault="00156B6A" w:rsidP="00097488">
      <w:pPr>
        <w:pStyle w:val="ListParagraph"/>
        <w:numPr>
          <w:ilvl w:val="0"/>
          <w:numId w:val="35"/>
        </w:numPr>
        <w:spacing w:after="0" w:line="240" w:lineRule="auto"/>
        <w:ind w:left="426" w:hanging="426"/>
        <w:jc w:val="both"/>
        <w:rPr>
          <w:rFonts w:eastAsia="Times New Roman" w:cs="Arial"/>
          <w:sz w:val="24"/>
          <w:szCs w:val="24"/>
        </w:rPr>
      </w:pPr>
      <w:r w:rsidRPr="0054190C">
        <w:rPr>
          <w:color w:val="000000"/>
          <w:sz w:val="24"/>
          <w:szCs w:val="24"/>
        </w:rPr>
        <w:t>Aboriginal and Torres Strait Islander people with cognitive impairment and/or psychosocial disability are disproportionately affected</w:t>
      </w:r>
      <w:r w:rsidR="00F236C7">
        <w:rPr>
          <w:color w:val="000000"/>
          <w:sz w:val="24"/>
          <w:szCs w:val="24"/>
        </w:rPr>
        <w:t>,</w:t>
      </w:r>
      <w:r w:rsidRPr="0054190C">
        <w:rPr>
          <w:color w:val="000000"/>
          <w:sz w:val="24"/>
          <w:szCs w:val="24"/>
        </w:rPr>
        <w:t xml:space="preserve"> with evidence suggesting multiple intersectional deprivations significantly compound</w:t>
      </w:r>
      <w:r>
        <w:rPr>
          <w:color w:val="000000"/>
          <w:sz w:val="24"/>
          <w:szCs w:val="24"/>
        </w:rPr>
        <w:t>ing</w:t>
      </w:r>
      <w:r w:rsidRPr="0054190C">
        <w:rPr>
          <w:color w:val="000000"/>
          <w:sz w:val="24"/>
          <w:szCs w:val="24"/>
        </w:rPr>
        <w:t xml:space="preserve"> their risk of ill-treatment.  </w:t>
      </w:r>
    </w:p>
    <w:p w:rsidR="00F236C7" w:rsidRPr="00F236C7" w:rsidRDefault="00F236C7" w:rsidP="00F236C7">
      <w:pPr>
        <w:pStyle w:val="ListParagraph"/>
        <w:rPr>
          <w:color w:val="000000"/>
          <w:sz w:val="24"/>
          <w:szCs w:val="24"/>
        </w:rPr>
      </w:pPr>
    </w:p>
    <w:p w:rsidR="00156B6A" w:rsidRPr="009D7041" w:rsidRDefault="00156B6A" w:rsidP="00097488">
      <w:pPr>
        <w:pStyle w:val="ListParagraph"/>
        <w:numPr>
          <w:ilvl w:val="0"/>
          <w:numId w:val="35"/>
        </w:numPr>
        <w:spacing w:after="0" w:line="240" w:lineRule="auto"/>
        <w:ind w:left="426" w:hanging="426"/>
        <w:jc w:val="both"/>
        <w:rPr>
          <w:rFonts w:eastAsia="Times New Roman" w:cs="Arial"/>
          <w:sz w:val="24"/>
          <w:szCs w:val="24"/>
        </w:rPr>
      </w:pPr>
      <w:r w:rsidRPr="0054190C">
        <w:rPr>
          <w:color w:val="000000"/>
          <w:sz w:val="24"/>
          <w:szCs w:val="24"/>
        </w:rPr>
        <w:t>Addressing the problem of indefinite detention requires legislative</w:t>
      </w:r>
      <w:r w:rsidR="00F236C7">
        <w:rPr>
          <w:color w:val="000000"/>
          <w:sz w:val="24"/>
          <w:szCs w:val="24"/>
        </w:rPr>
        <w:t>,</w:t>
      </w:r>
      <w:r w:rsidRPr="0054190C">
        <w:rPr>
          <w:color w:val="000000"/>
          <w:sz w:val="24"/>
          <w:szCs w:val="24"/>
        </w:rPr>
        <w:t xml:space="preserve"> policy </w:t>
      </w:r>
      <w:r w:rsidR="00F236C7">
        <w:rPr>
          <w:color w:val="000000"/>
          <w:sz w:val="24"/>
          <w:szCs w:val="24"/>
        </w:rPr>
        <w:t xml:space="preserve">and program </w:t>
      </w:r>
      <w:r w:rsidRPr="0054190C">
        <w:rPr>
          <w:color w:val="000000"/>
          <w:sz w:val="24"/>
          <w:szCs w:val="24"/>
        </w:rPr>
        <w:t xml:space="preserve">reform in multiple areas to prevent indefinite detention becoming </w:t>
      </w:r>
      <w:r>
        <w:rPr>
          <w:color w:val="000000"/>
          <w:sz w:val="24"/>
          <w:szCs w:val="24"/>
        </w:rPr>
        <w:t>inevitable</w:t>
      </w:r>
      <w:r w:rsidRPr="0054190C">
        <w:rPr>
          <w:color w:val="000000"/>
          <w:sz w:val="24"/>
          <w:szCs w:val="24"/>
        </w:rPr>
        <w:t xml:space="preserve">, and to eliminate breaches of human rights for those people </w:t>
      </w:r>
      <w:r>
        <w:rPr>
          <w:color w:val="000000"/>
          <w:sz w:val="24"/>
          <w:szCs w:val="24"/>
        </w:rPr>
        <w:t xml:space="preserve">with disability </w:t>
      </w:r>
      <w:r w:rsidRPr="0054190C">
        <w:rPr>
          <w:color w:val="000000"/>
          <w:sz w:val="24"/>
          <w:szCs w:val="24"/>
        </w:rPr>
        <w:t xml:space="preserve">who are detained lawfully on an equal basis as </w:t>
      </w:r>
      <w:r w:rsidR="000B02FC">
        <w:rPr>
          <w:color w:val="000000"/>
          <w:sz w:val="24"/>
          <w:szCs w:val="24"/>
        </w:rPr>
        <w:t>those without disability</w:t>
      </w:r>
      <w:r w:rsidRPr="0054190C">
        <w:rPr>
          <w:color w:val="000000"/>
          <w:sz w:val="24"/>
          <w:szCs w:val="24"/>
        </w:rPr>
        <w:t>.</w:t>
      </w:r>
      <w:r w:rsidRPr="0054190C">
        <w:rPr>
          <w:rFonts w:cs="Arial"/>
          <w:sz w:val="24"/>
          <w:szCs w:val="24"/>
        </w:rPr>
        <w:t xml:space="preserve"> </w:t>
      </w:r>
    </w:p>
    <w:p w:rsidR="009D7041" w:rsidRDefault="009D7041" w:rsidP="009D7041">
      <w:pPr>
        <w:pStyle w:val="ListParagraph"/>
        <w:rPr>
          <w:rFonts w:eastAsia="Times New Roman" w:cs="Arial"/>
          <w:sz w:val="24"/>
          <w:szCs w:val="24"/>
        </w:rPr>
      </w:pPr>
    </w:p>
    <w:p w:rsidR="009D7041" w:rsidRPr="00F236C7" w:rsidRDefault="009D7041" w:rsidP="009D7041">
      <w:pPr>
        <w:pStyle w:val="ListParagraph"/>
        <w:spacing w:after="0" w:line="240" w:lineRule="auto"/>
        <w:ind w:left="426"/>
        <w:jc w:val="both"/>
        <w:rPr>
          <w:rFonts w:eastAsia="Times New Roman" w:cs="Arial"/>
          <w:sz w:val="24"/>
          <w:szCs w:val="24"/>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6"/>
        <w:gridCol w:w="2552"/>
        <w:gridCol w:w="2301"/>
        <w:gridCol w:w="2656"/>
      </w:tblGrid>
      <w:tr w:rsidR="00165F6F" w:rsidTr="00034E7D">
        <w:trPr>
          <w:trHeight w:val="1847"/>
        </w:trPr>
        <w:tc>
          <w:tcPr>
            <w:tcW w:w="2656" w:type="dxa"/>
          </w:tcPr>
          <w:p w:rsidR="00165F6F" w:rsidRPr="009D7041" w:rsidRDefault="00FB22E9" w:rsidP="009D7041">
            <w:pPr>
              <w:jc w:val="center"/>
              <w:rPr>
                <w:rFonts w:ascii="Times New Roman" w:eastAsia="Times New Roman" w:hAnsi="Times New Roman"/>
              </w:rPr>
            </w:pPr>
            <w:r>
              <w:rPr>
                <w:rFonts w:ascii="Arial" w:hAnsi="Arial" w:cs="Arial"/>
                <w:szCs w:val="24"/>
              </w:rPr>
              <w:br w:type="page"/>
            </w:r>
            <w:r w:rsidR="00165F6F">
              <w:rPr>
                <w:noProof/>
                <w:lang w:eastAsia="en-AU"/>
              </w:rPr>
              <w:drawing>
                <wp:inline distT="0" distB="0" distL="0" distR="0" wp14:anchorId="5201828B" wp14:editId="1EF9F826">
                  <wp:extent cx="1541780" cy="80835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1780" cy="808355"/>
                          </a:xfrm>
                          <a:prstGeom prst="rect">
                            <a:avLst/>
                          </a:prstGeom>
                          <a:noFill/>
                          <a:ln>
                            <a:noFill/>
                          </a:ln>
                        </pic:spPr>
                      </pic:pic>
                    </a:graphicData>
                  </a:graphic>
                </wp:inline>
              </w:drawing>
            </w:r>
          </w:p>
        </w:tc>
        <w:tc>
          <w:tcPr>
            <w:tcW w:w="2552" w:type="dxa"/>
          </w:tcPr>
          <w:p w:rsidR="00165F6F" w:rsidRPr="009D7041" w:rsidRDefault="00165F6F" w:rsidP="009D7041">
            <w:pPr>
              <w:jc w:val="center"/>
              <w:rPr>
                <w:rFonts w:ascii="Times New Roman" w:eastAsia="Times New Roman" w:hAnsi="Times New Roman"/>
              </w:rPr>
            </w:pPr>
            <w:r>
              <w:rPr>
                <w:noProof/>
                <w:lang w:eastAsia="en-AU"/>
              </w:rPr>
              <w:drawing>
                <wp:inline distT="0" distB="0" distL="0" distR="0" wp14:anchorId="7B42A0CA" wp14:editId="461F667C">
                  <wp:extent cx="967740" cy="9569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7740" cy="956945"/>
                          </a:xfrm>
                          <a:prstGeom prst="rect">
                            <a:avLst/>
                          </a:prstGeom>
                          <a:noFill/>
                          <a:ln>
                            <a:noFill/>
                          </a:ln>
                        </pic:spPr>
                      </pic:pic>
                    </a:graphicData>
                  </a:graphic>
                </wp:inline>
              </w:drawing>
            </w:r>
          </w:p>
        </w:tc>
        <w:tc>
          <w:tcPr>
            <w:tcW w:w="2301" w:type="dxa"/>
            <w:hideMark/>
          </w:tcPr>
          <w:p w:rsidR="00165F6F" w:rsidRDefault="00165F6F">
            <w:pPr>
              <w:jc w:val="center"/>
              <w:rPr>
                <w:rFonts w:ascii="Times New Roman" w:eastAsia="Times New Roman" w:hAnsi="Times New Roman"/>
                <w:sz w:val="24"/>
                <w:szCs w:val="24"/>
              </w:rPr>
            </w:pPr>
            <w:r>
              <w:rPr>
                <w:noProof/>
                <w:lang w:eastAsia="en-AU"/>
              </w:rPr>
              <w:drawing>
                <wp:inline distT="0" distB="0" distL="0" distR="0" wp14:anchorId="4F1804AF" wp14:editId="67788B62">
                  <wp:extent cx="775970" cy="71247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75970" cy="712470"/>
                          </a:xfrm>
                          <a:prstGeom prst="rect">
                            <a:avLst/>
                          </a:prstGeom>
                          <a:noFill/>
                          <a:ln>
                            <a:noFill/>
                          </a:ln>
                        </pic:spPr>
                      </pic:pic>
                    </a:graphicData>
                  </a:graphic>
                </wp:inline>
              </w:drawing>
            </w:r>
          </w:p>
        </w:tc>
        <w:tc>
          <w:tcPr>
            <w:tcW w:w="2656" w:type="dxa"/>
          </w:tcPr>
          <w:p w:rsidR="00165F6F" w:rsidRDefault="00165F6F">
            <w:pPr>
              <w:jc w:val="center"/>
              <w:rPr>
                <w:rFonts w:ascii="Times New Roman" w:eastAsia="Times New Roman" w:hAnsi="Times New Roman"/>
                <w:noProof/>
                <w:lang w:val="en-US"/>
              </w:rPr>
            </w:pPr>
          </w:p>
          <w:p w:rsidR="00165F6F" w:rsidRDefault="00165F6F">
            <w:pPr>
              <w:jc w:val="center"/>
              <w:rPr>
                <w:rFonts w:ascii="Times New Roman" w:eastAsia="Times New Roman" w:hAnsi="Times New Roman"/>
                <w:sz w:val="24"/>
                <w:szCs w:val="24"/>
              </w:rPr>
            </w:pPr>
            <w:r>
              <w:rPr>
                <w:noProof/>
                <w:lang w:eastAsia="en-AU"/>
              </w:rPr>
              <w:drawing>
                <wp:inline distT="0" distB="0" distL="0" distR="0" wp14:anchorId="16881854" wp14:editId="7E1A0D4D">
                  <wp:extent cx="1552575" cy="49974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2575" cy="499745"/>
                          </a:xfrm>
                          <a:prstGeom prst="rect">
                            <a:avLst/>
                          </a:prstGeom>
                          <a:noFill/>
                          <a:ln>
                            <a:noFill/>
                          </a:ln>
                        </pic:spPr>
                      </pic:pic>
                    </a:graphicData>
                  </a:graphic>
                </wp:inline>
              </w:drawing>
            </w:r>
          </w:p>
        </w:tc>
      </w:tr>
    </w:tbl>
    <w:p w:rsidR="008A2B43" w:rsidRPr="008A2B43" w:rsidRDefault="008A2B43" w:rsidP="009D7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ascii="Arial" w:hAnsi="Arial" w:cs="Arial"/>
          <w:sz w:val="24"/>
          <w:szCs w:val="24"/>
        </w:rPr>
      </w:pPr>
    </w:p>
    <w:sectPr w:rsidR="008A2B43" w:rsidRPr="008A2B43" w:rsidSect="00235596">
      <w:pgSz w:w="11900" w:h="16840"/>
      <w:pgMar w:top="1418" w:right="1134" w:bottom="851" w:left="1134" w:header="1077"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4E" w:rsidRDefault="00DD224E" w:rsidP="0094448F">
      <w:pPr>
        <w:spacing w:after="0" w:line="240" w:lineRule="auto"/>
      </w:pPr>
      <w:r>
        <w:separator/>
      </w:r>
    </w:p>
  </w:endnote>
  <w:endnote w:type="continuationSeparator" w:id="0">
    <w:p w:rsidR="00DD224E" w:rsidRDefault="00DD224E" w:rsidP="0094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4E" w:rsidRDefault="00DD224E" w:rsidP="00D81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224E" w:rsidRDefault="00DD224E" w:rsidP="00D914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905615"/>
      <w:docPartObj>
        <w:docPartGallery w:val="Page Numbers (Bottom of Page)"/>
        <w:docPartUnique/>
      </w:docPartObj>
    </w:sdtPr>
    <w:sdtEndPr>
      <w:rPr>
        <w:noProof/>
      </w:rPr>
    </w:sdtEndPr>
    <w:sdtContent>
      <w:p w:rsidR="00DD224E" w:rsidRDefault="00DD224E">
        <w:pPr>
          <w:pStyle w:val="Footer"/>
          <w:jc w:val="right"/>
        </w:pPr>
        <w:r>
          <w:fldChar w:fldCharType="begin"/>
        </w:r>
        <w:r>
          <w:instrText xml:space="preserve"> PAGE   \* MERGEFORMAT </w:instrText>
        </w:r>
        <w:r>
          <w:fldChar w:fldCharType="separate"/>
        </w:r>
        <w:r w:rsidR="00045F9B">
          <w:rPr>
            <w:noProof/>
          </w:rPr>
          <w:t>2</w:t>
        </w:r>
        <w:r>
          <w:rPr>
            <w:noProof/>
          </w:rPr>
          <w:fldChar w:fldCharType="end"/>
        </w:r>
      </w:p>
    </w:sdtContent>
  </w:sdt>
  <w:p w:rsidR="00DD224E" w:rsidRDefault="00DD224E" w:rsidP="00D9144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4E" w:rsidRDefault="00DD224E">
    <w:pPr>
      <w:pStyle w:val="Footer"/>
      <w:jc w:val="right"/>
    </w:pPr>
  </w:p>
  <w:p w:rsidR="00DD224E" w:rsidRDefault="00DD224E" w:rsidP="0023559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4E" w:rsidRDefault="00DD224E" w:rsidP="0094448F">
      <w:pPr>
        <w:spacing w:after="0" w:line="240" w:lineRule="auto"/>
      </w:pPr>
      <w:r>
        <w:separator/>
      </w:r>
    </w:p>
  </w:footnote>
  <w:footnote w:type="continuationSeparator" w:id="0">
    <w:p w:rsidR="00DD224E" w:rsidRDefault="00DD224E" w:rsidP="0094448F">
      <w:pPr>
        <w:spacing w:after="0" w:line="240" w:lineRule="auto"/>
      </w:pPr>
      <w:r>
        <w:continuationSeparator/>
      </w:r>
    </w:p>
  </w:footnote>
  <w:footnote w:id="1">
    <w:p w:rsidR="00DD224E" w:rsidRPr="00281DCE" w:rsidRDefault="00DD224E" w:rsidP="001C1253">
      <w:pPr>
        <w:pStyle w:val="NoSpacing"/>
        <w:rPr>
          <w:rFonts w:asciiTheme="majorHAnsi" w:hAnsiTheme="majorHAnsi" w:cstheme="majorHAnsi"/>
          <w:sz w:val="20"/>
        </w:rPr>
      </w:pPr>
      <w:r w:rsidRPr="00281DCE">
        <w:rPr>
          <w:rStyle w:val="FootnoteReference"/>
          <w:rFonts w:asciiTheme="majorHAnsi" w:hAnsiTheme="majorHAnsi" w:cstheme="majorHAnsi"/>
          <w:sz w:val="20"/>
        </w:rPr>
        <w:footnoteRef/>
      </w:r>
      <w:r w:rsidRPr="00281DCE">
        <w:rPr>
          <w:rFonts w:asciiTheme="majorHAnsi" w:hAnsiTheme="majorHAnsi" w:cstheme="majorHAnsi"/>
          <w:sz w:val="20"/>
        </w:rPr>
        <w:t xml:space="preserve"> </w:t>
      </w:r>
      <w:r>
        <w:rPr>
          <w:rFonts w:asciiTheme="majorHAnsi" w:hAnsiTheme="majorHAnsi" w:cstheme="majorHAnsi"/>
          <w:sz w:val="20"/>
        </w:rPr>
        <w:t xml:space="preserve">Available at </w:t>
      </w:r>
      <w:hyperlink r:id="rId1" w:history="1">
        <w:r w:rsidRPr="004F3F42">
          <w:rPr>
            <w:rStyle w:val="Hyperlink"/>
            <w:rFonts w:asciiTheme="majorHAnsi" w:hAnsiTheme="majorHAnsi" w:cstheme="majorHAnsi"/>
            <w:sz w:val="20"/>
          </w:rPr>
          <w:t>http://www.pwd.org.au/issues/crpd-civil-society-shadow-report-group.html</w:t>
        </w:r>
      </w:hyperlink>
      <w:r>
        <w:rPr>
          <w:rFonts w:asciiTheme="majorHAnsi" w:hAnsiTheme="majorHAnsi" w:cstheme="majorHAnsi"/>
          <w:sz w:val="20"/>
        </w:rPr>
        <w:t xml:space="preserve"> </w:t>
      </w:r>
    </w:p>
  </w:footnote>
  <w:footnote w:id="2">
    <w:p w:rsidR="00DD224E" w:rsidRPr="00281DCE" w:rsidRDefault="00DD224E" w:rsidP="001C1253">
      <w:pPr>
        <w:pStyle w:val="NoSpacing"/>
        <w:rPr>
          <w:rFonts w:asciiTheme="majorHAnsi" w:hAnsiTheme="majorHAnsi" w:cstheme="majorHAnsi"/>
          <w:sz w:val="20"/>
        </w:rPr>
      </w:pPr>
      <w:r w:rsidRPr="00281DCE">
        <w:rPr>
          <w:rStyle w:val="FootnoteReference"/>
          <w:rFonts w:asciiTheme="majorHAnsi" w:hAnsiTheme="majorHAnsi" w:cstheme="majorHAnsi"/>
          <w:sz w:val="20"/>
        </w:rPr>
        <w:footnoteRef/>
      </w:r>
      <w:r w:rsidRPr="00281DCE">
        <w:rPr>
          <w:rFonts w:asciiTheme="majorHAnsi" w:hAnsiTheme="majorHAnsi" w:cstheme="majorHAnsi"/>
          <w:sz w:val="20"/>
        </w:rPr>
        <w:t xml:space="preserve"> See Phillip French, Julie </w:t>
      </w:r>
      <w:proofErr w:type="spellStart"/>
      <w:r w:rsidRPr="00281DCE">
        <w:rPr>
          <w:rFonts w:asciiTheme="majorHAnsi" w:hAnsiTheme="majorHAnsi" w:cstheme="majorHAnsi"/>
          <w:sz w:val="20"/>
        </w:rPr>
        <w:t>Dardel</w:t>
      </w:r>
      <w:proofErr w:type="spellEnd"/>
      <w:r w:rsidRPr="00281DCE">
        <w:rPr>
          <w:rFonts w:asciiTheme="majorHAnsi" w:hAnsiTheme="majorHAnsi" w:cstheme="majorHAnsi"/>
          <w:sz w:val="20"/>
        </w:rPr>
        <w:t xml:space="preserve"> and Sonya-Price-Kelly, </w:t>
      </w:r>
      <w:hyperlink r:id="rId2" w:history="1">
        <w:r w:rsidRPr="00281DCE">
          <w:rPr>
            <w:rStyle w:val="Hyperlink"/>
            <w:rFonts w:asciiTheme="majorHAnsi" w:hAnsiTheme="majorHAnsi" w:cstheme="majorHAnsi"/>
            <w:i/>
            <w:sz w:val="20"/>
          </w:rPr>
          <w:t>Rights Denied: Towards a National Policy Agenda about Abuse, Neglect and Exploitation of Persons with Cognitive Impairment</w:t>
        </w:r>
      </w:hyperlink>
      <w:r w:rsidRPr="00281DCE">
        <w:rPr>
          <w:rFonts w:asciiTheme="majorHAnsi" w:hAnsiTheme="majorHAnsi" w:cstheme="majorHAnsi"/>
          <w:sz w:val="20"/>
        </w:rPr>
        <w:t xml:space="preserve">, (People With Disability Australia, 2009) </w:t>
      </w:r>
      <w:r w:rsidRPr="00281DCE">
        <w:rPr>
          <w:rFonts w:asciiTheme="majorHAnsi" w:hAnsiTheme="majorHAnsi" w:cstheme="majorHAnsi"/>
          <w:sz w:val="20"/>
          <w:highlight w:val="yellow"/>
        </w:rPr>
        <w:t xml:space="preserve"> </w:t>
      </w:r>
    </w:p>
  </w:footnote>
  <w:footnote w:id="3">
    <w:p w:rsidR="00DD224E" w:rsidRPr="00281DCE" w:rsidRDefault="00DD224E" w:rsidP="001C1253">
      <w:pPr>
        <w:pStyle w:val="NoSpacing"/>
        <w:rPr>
          <w:rFonts w:asciiTheme="majorHAnsi" w:hAnsiTheme="majorHAnsi" w:cstheme="majorHAnsi"/>
          <w:sz w:val="20"/>
        </w:rPr>
      </w:pPr>
      <w:r w:rsidRPr="00281DCE">
        <w:rPr>
          <w:rStyle w:val="FootnoteReference"/>
          <w:rFonts w:asciiTheme="majorHAnsi" w:hAnsiTheme="majorHAnsi" w:cstheme="majorHAnsi"/>
          <w:sz w:val="20"/>
        </w:rPr>
        <w:footnoteRef/>
      </w:r>
      <w:r w:rsidRPr="00281DCE">
        <w:rPr>
          <w:rFonts w:asciiTheme="majorHAnsi" w:hAnsiTheme="majorHAnsi" w:cstheme="majorHAnsi"/>
          <w:sz w:val="20"/>
        </w:rPr>
        <w:t xml:space="preserve"> Australian Institute of Health and Welfare (2013), p 3</w:t>
      </w:r>
    </w:p>
  </w:footnote>
  <w:footnote w:id="4">
    <w:p w:rsidR="00DD224E" w:rsidRPr="00281DCE" w:rsidRDefault="00DD224E" w:rsidP="001C1253">
      <w:pPr>
        <w:pStyle w:val="NoSpacing"/>
        <w:rPr>
          <w:rFonts w:asciiTheme="majorHAnsi" w:hAnsiTheme="majorHAnsi" w:cstheme="majorHAnsi"/>
          <w:sz w:val="20"/>
        </w:rPr>
      </w:pPr>
      <w:r w:rsidRPr="00281DCE">
        <w:rPr>
          <w:rStyle w:val="FootnoteReference"/>
          <w:rFonts w:asciiTheme="majorHAnsi" w:hAnsiTheme="majorHAnsi" w:cstheme="majorHAnsi"/>
          <w:sz w:val="20"/>
        </w:rPr>
        <w:footnoteRef/>
      </w:r>
      <w:r w:rsidRPr="00281DCE">
        <w:rPr>
          <w:rFonts w:asciiTheme="majorHAnsi" w:hAnsiTheme="majorHAnsi" w:cstheme="majorHAnsi"/>
          <w:sz w:val="20"/>
        </w:rPr>
        <w:t xml:space="preserve"> </w:t>
      </w:r>
      <w:proofErr w:type="spellStart"/>
      <w:r w:rsidRPr="00281DCE">
        <w:rPr>
          <w:rFonts w:asciiTheme="majorHAnsi" w:hAnsiTheme="majorHAnsi" w:cstheme="majorHAnsi"/>
          <w:sz w:val="20"/>
        </w:rPr>
        <w:t>Baldry</w:t>
      </w:r>
      <w:proofErr w:type="spellEnd"/>
      <w:r w:rsidRPr="00281DCE">
        <w:rPr>
          <w:rFonts w:asciiTheme="majorHAnsi" w:hAnsiTheme="majorHAnsi" w:cstheme="majorHAnsi"/>
          <w:sz w:val="20"/>
        </w:rPr>
        <w:t xml:space="preserve">, E. </w:t>
      </w:r>
      <w:r w:rsidRPr="00281DCE">
        <w:rPr>
          <w:rFonts w:asciiTheme="majorHAnsi" w:hAnsiTheme="majorHAnsi" w:cstheme="majorHAnsi"/>
          <w:i/>
          <w:sz w:val="20"/>
        </w:rPr>
        <w:t xml:space="preserve">Disability at the Margins: Limits of the Law. </w:t>
      </w:r>
      <w:r w:rsidRPr="00281DCE">
        <w:rPr>
          <w:rFonts w:asciiTheme="majorHAnsi" w:hAnsiTheme="majorHAnsi" w:cstheme="majorHAnsi"/>
          <w:sz w:val="20"/>
        </w:rPr>
        <w:t>Griffith Law Review, 2014 Vol. 23, No. 3, 370–388,</w:t>
      </w:r>
    </w:p>
  </w:footnote>
  <w:footnote w:id="5">
    <w:p w:rsidR="00DD224E" w:rsidRPr="00990547" w:rsidRDefault="00DD224E" w:rsidP="001C1253">
      <w:pPr>
        <w:pStyle w:val="NoSpacing"/>
        <w:rPr>
          <w:rFonts w:asciiTheme="majorHAnsi" w:hAnsiTheme="majorHAnsi" w:cstheme="majorHAnsi"/>
          <w:sz w:val="20"/>
        </w:rPr>
      </w:pPr>
      <w:r w:rsidRPr="00990547">
        <w:rPr>
          <w:rStyle w:val="FootnoteReference"/>
          <w:rFonts w:asciiTheme="majorHAnsi" w:hAnsiTheme="majorHAnsi" w:cstheme="majorHAnsi"/>
          <w:sz w:val="20"/>
        </w:rPr>
        <w:footnoteRef/>
      </w:r>
      <w:r w:rsidRPr="00990547">
        <w:rPr>
          <w:rFonts w:asciiTheme="majorHAnsi" w:hAnsiTheme="majorHAnsi" w:cstheme="majorHAnsi"/>
          <w:sz w:val="20"/>
        </w:rPr>
        <w:t xml:space="preserve">  Senate Standing Committee on Legal and Constitutional Affairs; </w:t>
      </w:r>
      <w:r w:rsidRPr="00990547">
        <w:rPr>
          <w:rFonts w:asciiTheme="majorHAnsi" w:hAnsiTheme="majorHAnsi" w:cstheme="majorHAnsi"/>
          <w:i/>
          <w:sz w:val="20"/>
        </w:rPr>
        <w:t>Attorney-General’s Department; Group 2; Program 1.3, Question No. 88</w:t>
      </w:r>
      <w:r w:rsidRPr="00990547">
        <w:rPr>
          <w:rFonts w:asciiTheme="majorHAnsi" w:hAnsiTheme="majorHAnsi" w:cstheme="majorHAnsi"/>
          <w:sz w:val="20"/>
        </w:rPr>
        <w:t xml:space="preserve">, 16 October 2012. </w:t>
      </w:r>
    </w:p>
  </w:footnote>
  <w:footnote w:id="6">
    <w:p w:rsidR="00DD224E" w:rsidRPr="00990547" w:rsidRDefault="00DD224E" w:rsidP="001C1253">
      <w:pPr>
        <w:pStyle w:val="NoSpacing"/>
        <w:rPr>
          <w:rFonts w:asciiTheme="majorHAnsi" w:hAnsiTheme="majorHAnsi" w:cstheme="majorHAnsi"/>
          <w:sz w:val="20"/>
        </w:rPr>
      </w:pPr>
      <w:r w:rsidRPr="00990547">
        <w:rPr>
          <w:rStyle w:val="FootnoteReference"/>
          <w:rFonts w:asciiTheme="majorHAnsi" w:hAnsiTheme="majorHAnsi" w:cstheme="majorHAnsi"/>
          <w:sz w:val="20"/>
        </w:rPr>
        <w:footnoteRef/>
      </w:r>
      <w:r w:rsidRPr="00990547">
        <w:rPr>
          <w:rFonts w:asciiTheme="majorHAnsi" w:hAnsiTheme="majorHAnsi" w:cstheme="majorHAnsi"/>
          <w:sz w:val="20"/>
        </w:rPr>
        <w:t xml:space="preserve"> </w:t>
      </w:r>
      <w:r w:rsidRPr="00990547">
        <w:rPr>
          <w:rFonts w:asciiTheme="majorHAnsi" w:hAnsiTheme="majorHAnsi" w:cstheme="majorHAnsi"/>
          <w:i/>
          <w:sz w:val="20"/>
        </w:rPr>
        <w:t xml:space="preserve">Migration Act 1958 </w:t>
      </w:r>
      <w:r w:rsidRPr="00990547">
        <w:rPr>
          <w:rFonts w:asciiTheme="majorHAnsi" w:hAnsiTheme="majorHAnsi" w:cstheme="majorHAnsi"/>
          <w:sz w:val="20"/>
        </w:rPr>
        <w:t>(</w:t>
      </w:r>
      <w:proofErr w:type="spellStart"/>
      <w:r w:rsidRPr="00990547">
        <w:rPr>
          <w:rFonts w:asciiTheme="majorHAnsi" w:hAnsiTheme="majorHAnsi" w:cstheme="majorHAnsi"/>
          <w:sz w:val="20"/>
        </w:rPr>
        <w:t>Cth</w:t>
      </w:r>
      <w:proofErr w:type="spellEnd"/>
      <w:r w:rsidRPr="00990547">
        <w:rPr>
          <w:rFonts w:asciiTheme="majorHAnsi" w:hAnsiTheme="majorHAnsi" w:cstheme="majorHAnsi"/>
          <w:sz w:val="20"/>
        </w:rPr>
        <w:t xml:space="preserve">) amended </w:t>
      </w:r>
    </w:p>
  </w:footnote>
  <w:footnote w:id="7">
    <w:p w:rsidR="00DD224E" w:rsidRPr="00990547" w:rsidRDefault="00DD224E" w:rsidP="001C1253">
      <w:pPr>
        <w:pStyle w:val="NoSpacing"/>
        <w:rPr>
          <w:rFonts w:asciiTheme="majorHAnsi" w:hAnsiTheme="majorHAnsi" w:cstheme="majorHAnsi"/>
          <w:sz w:val="20"/>
        </w:rPr>
      </w:pPr>
      <w:r w:rsidRPr="00990547">
        <w:rPr>
          <w:rStyle w:val="FootnoteReference"/>
          <w:rFonts w:asciiTheme="majorHAnsi" w:hAnsiTheme="majorHAnsi" w:cstheme="majorHAnsi"/>
          <w:sz w:val="20"/>
        </w:rPr>
        <w:footnoteRef/>
      </w:r>
      <w:r w:rsidRPr="00990547">
        <w:rPr>
          <w:rFonts w:asciiTheme="majorHAnsi" w:hAnsiTheme="majorHAnsi" w:cstheme="majorHAnsi"/>
          <w:sz w:val="20"/>
        </w:rPr>
        <w:t xml:space="preserve">  </w:t>
      </w:r>
      <w:proofErr w:type="spellStart"/>
      <w:r w:rsidRPr="00990547">
        <w:rPr>
          <w:rFonts w:asciiTheme="majorHAnsi" w:hAnsiTheme="majorHAnsi" w:cstheme="majorHAnsi"/>
          <w:sz w:val="20"/>
        </w:rPr>
        <w:t>Sitori</w:t>
      </w:r>
      <w:proofErr w:type="spellEnd"/>
      <w:r w:rsidRPr="00990547">
        <w:rPr>
          <w:rFonts w:asciiTheme="majorHAnsi" w:hAnsiTheme="majorHAnsi" w:cstheme="majorHAnsi"/>
          <w:sz w:val="20"/>
        </w:rPr>
        <w:t xml:space="preserve">, M., McGee, P. and </w:t>
      </w:r>
      <w:proofErr w:type="spellStart"/>
      <w:r w:rsidRPr="00990547">
        <w:rPr>
          <w:rFonts w:asciiTheme="majorHAnsi" w:hAnsiTheme="majorHAnsi" w:cstheme="majorHAnsi"/>
          <w:sz w:val="20"/>
        </w:rPr>
        <w:t>Baldry</w:t>
      </w:r>
      <w:proofErr w:type="spellEnd"/>
      <w:r w:rsidRPr="00990547">
        <w:rPr>
          <w:rFonts w:asciiTheme="majorHAnsi" w:hAnsiTheme="majorHAnsi" w:cstheme="majorHAnsi"/>
          <w:sz w:val="20"/>
        </w:rPr>
        <w:t xml:space="preserve">, E. (2012) </w:t>
      </w:r>
      <w:r w:rsidRPr="00990547">
        <w:rPr>
          <w:rFonts w:asciiTheme="majorHAnsi" w:hAnsiTheme="majorHAnsi" w:cstheme="majorHAnsi"/>
          <w:i/>
          <w:sz w:val="20"/>
        </w:rPr>
        <w:t>The Imprisonment and Indefinite Detention of Indigenous Australians with a Cognitive Impairment;</w:t>
      </w:r>
      <w:r w:rsidRPr="00990547">
        <w:rPr>
          <w:rFonts w:asciiTheme="majorHAnsi" w:hAnsiTheme="majorHAnsi" w:cstheme="majorHAnsi"/>
          <w:sz w:val="20"/>
        </w:rPr>
        <w:t xml:space="preserve"> A Report Prepared by the Aboriginal Disability Justice Campaign. Sydney: University of NSW.</w:t>
      </w:r>
    </w:p>
  </w:footnote>
  <w:footnote w:id="8">
    <w:p w:rsidR="00DD224E" w:rsidRPr="006649F9" w:rsidRDefault="00DD224E" w:rsidP="001C1253">
      <w:pPr>
        <w:pStyle w:val="NoSpacing"/>
        <w:rPr>
          <w:rFonts w:asciiTheme="minorHAnsi" w:hAnsiTheme="minorHAnsi" w:cs="Arial"/>
          <w:sz w:val="20"/>
        </w:rPr>
      </w:pPr>
      <w:r w:rsidRPr="00990547">
        <w:rPr>
          <w:rStyle w:val="FootnoteReference"/>
          <w:rFonts w:asciiTheme="majorHAnsi" w:eastAsiaTheme="majorEastAsia" w:hAnsiTheme="majorHAnsi" w:cstheme="majorHAnsi"/>
          <w:sz w:val="20"/>
        </w:rPr>
        <w:footnoteRef/>
      </w:r>
      <w:r w:rsidRPr="00990547">
        <w:rPr>
          <w:rFonts w:asciiTheme="majorHAnsi" w:hAnsiTheme="majorHAnsi" w:cstheme="majorHAnsi"/>
          <w:sz w:val="20"/>
        </w:rPr>
        <w:t xml:space="preserve"> General Comment Number 2, Interpretation of Article 2 of the Convention Against Torture, page 6. </w:t>
      </w:r>
    </w:p>
  </w:footnote>
  <w:footnote w:id="9">
    <w:p w:rsidR="00DD224E" w:rsidRPr="00990547" w:rsidRDefault="00DD224E" w:rsidP="001C1253">
      <w:pPr>
        <w:pStyle w:val="NoSpacing"/>
        <w:rPr>
          <w:rFonts w:asciiTheme="majorHAnsi" w:hAnsiTheme="majorHAnsi" w:cstheme="majorHAnsi"/>
          <w:sz w:val="20"/>
        </w:rPr>
      </w:pPr>
      <w:r w:rsidRPr="00990547">
        <w:rPr>
          <w:rStyle w:val="FootnoteReference"/>
          <w:rFonts w:asciiTheme="majorHAnsi" w:hAnsiTheme="majorHAnsi" w:cstheme="majorHAnsi"/>
          <w:sz w:val="20"/>
        </w:rPr>
        <w:footnoteRef/>
      </w:r>
      <w:r w:rsidRPr="00990547">
        <w:rPr>
          <w:rFonts w:asciiTheme="majorHAnsi" w:hAnsiTheme="majorHAnsi" w:cstheme="majorHAnsi"/>
          <w:sz w:val="20"/>
        </w:rPr>
        <w:t xml:space="preserve"> OHCHR Expert Meeting on Deprivation of Liberty of Persons with Disability, full materials available at </w:t>
      </w:r>
      <w:hyperlink r:id="rId3" w:history="1">
        <w:r w:rsidRPr="00990547">
          <w:rPr>
            <w:rStyle w:val="Hyperlink"/>
            <w:rFonts w:asciiTheme="majorHAnsi" w:hAnsiTheme="majorHAnsi" w:cstheme="majorHAnsi"/>
            <w:sz w:val="20"/>
          </w:rPr>
          <w:t>http://www.ohchr.org/EN/Issues/Disability/Pages/deprivationofliberty.aspx</w:t>
        </w:r>
      </w:hyperlink>
      <w:r w:rsidRPr="00990547">
        <w:rPr>
          <w:rFonts w:asciiTheme="majorHAnsi" w:hAnsiTheme="majorHAnsi" w:cstheme="majorHAnsi"/>
          <w:sz w:val="20"/>
        </w:rPr>
        <w:t xml:space="preserve"> </w:t>
      </w:r>
    </w:p>
  </w:footnote>
  <w:footnote w:id="10">
    <w:p w:rsidR="00DD224E" w:rsidRPr="0040073F" w:rsidRDefault="00DD224E" w:rsidP="001C1253">
      <w:pPr>
        <w:pStyle w:val="NoSpacing"/>
        <w:rPr>
          <w:rFonts w:asciiTheme="majorHAnsi" w:hAnsiTheme="majorHAnsi" w:cstheme="majorHAnsi"/>
          <w:sz w:val="20"/>
        </w:rPr>
      </w:pPr>
      <w:r w:rsidRPr="0040073F">
        <w:rPr>
          <w:rStyle w:val="FootnoteReference"/>
          <w:rFonts w:asciiTheme="majorHAnsi" w:hAnsiTheme="majorHAnsi" w:cstheme="majorHAnsi"/>
          <w:sz w:val="20"/>
        </w:rPr>
        <w:footnoteRef/>
      </w:r>
      <w:r w:rsidRPr="0040073F">
        <w:rPr>
          <w:rFonts w:asciiTheme="majorHAnsi" w:hAnsiTheme="majorHAnsi" w:cstheme="majorHAnsi"/>
          <w:sz w:val="20"/>
        </w:rPr>
        <w:t xml:space="preserve"> </w:t>
      </w:r>
      <w:r>
        <w:rPr>
          <w:rFonts w:asciiTheme="majorHAnsi" w:hAnsiTheme="majorHAnsi" w:cstheme="majorHAnsi"/>
          <w:sz w:val="20"/>
        </w:rPr>
        <w:t>S</w:t>
      </w:r>
      <w:r w:rsidR="00CB67BC" w:rsidRPr="00CB67BC">
        <w:rPr>
          <w:rFonts w:asciiTheme="majorHAnsi" w:hAnsiTheme="majorHAnsi" w:cstheme="majorHAnsi"/>
          <w:sz w:val="20"/>
        </w:rPr>
        <w:t xml:space="preserve"> </w:t>
      </w:r>
      <w:r w:rsidR="00CB67BC" w:rsidRPr="000B118F">
        <w:rPr>
          <w:rFonts w:asciiTheme="majorHAnsi" w:hAnsiTheme="majorHAnsi" w:cstheme="majorHAnsi"/>
          <w:sz w:val="20"/>
        </w:rPr>
        <w:t xml:space="preserve">PWDA, Australian Centre for Disability Law, Australian Human Rights Centre (July 2014), Submission to the Australian Law Reform Commission Discussion Paper, Equality, Capacity and Disability in Commonwealth Laws,  </w:t>
      </w:r>
      <w:hyperlink r:id="rId4" w:history="1">
        <w:r w:rsidR="00CB67BC" w:rsidRPr="000B118F">
          <w:rPr>
            <w:rStyle w:val="Hyperlink"/>
            <w:rFonts w:asciiTheme="majorHAnsi" w:hAnsiTheme="majorHAnsi" w:cstheme="majorHAnsi"/>
            <w:sz w:val="20"/>
          </w:rPr>
          <w:t>http://www.pwd.org.au/documents/pubs/SB14-ALRC-Submission-PWDA-ACDL-AHRCentre.doc</w:t>
        </w:r>
      </w:hyperlink>
    </w:p>
  </w:footnote>
  <w:footnote w:id="11">
    <w:p w:rsidR="00DD224E" w:rsidRPr="0040073F" w:rsidRDefault="00DD224E" w:rsidP="001C1253">
      <w:pPr>
        <w:pStyle w:val="NoSpacing"/>
        <w:rPr>
          <w:rFonts w:asciiTheme="majorHAnsi" w:hAnsiTheme="majorHAnsi" w:cstheme="majorHAnsi"/>
          <w:sz w:val="20"/>
        </w:rPr>
      </w:pPr>
      <w:r w:rsidRPr="0040073F">
        <w:rPr>
          <w:rStyle w:val="FootnoteReference"/>
          <w:rFonts w:asciiTheme="majorHAnsi" w:hAnsiTheme="majorHAnsi" w:cstheme="majorHAnsi"/>
          <w:sz w:val="20"/>
        </w:rPr>
        <w:footnoteRef/>
      </w:r>
      <w:r w:rsidRPr="0040073F">
        <w:rPr>
          <w:rFonts w:asciiTheme="majorHAnsi" w:hAnsiTheme="majorHAnsi" w:cstheme="majorHAnsi"/>
          <w:sz w:val="20"/>
        </w:rPr>
        <w:t xml:space="preserve"> </w:t>
      </w:r>
      <w:r w:rsidRPr="0040073F">
        <w:rPr>
          <w:rFonts w:asciiTheme="majorHAnsi" w:hAnsiTheme="majorHAnsi" w:cstheme="majorHAnsi"/>
          <w:sz w:val="20"/>
          <w:u w:color="BC2504"/>
        </w:rPr>
        <w:t xml:space="preserve">Australian Law Reform Commission, </w:t>
      </w:r>
      <w:r w:rsidRPr="0040073F">
        <w:rPr>
          <w:rFonts w:asciiTheme="majorHAnsi" w:hAnsiTheme="majorHAnsi" w:cstheme="majorHAnsi"/>
          <w:i/>
          <w:sz w:val="20"/>
        </w:rPr>
        <w:t>Equality, Capacity and Disability in Commonwealth Laws</w:t>
      </w:r>
      <w:r w:rsidRPr="0040073F">
        <w:rPr>
          <w:rFonts w:asciiTheme="majorHAnsi" w:hAnsiTheme="majorHAnsi" w:cstheme="majorHAnsi"/>
          <w:sz w:val="20"/>
        </w:rPr>
        <w:t>,</w:t>
      </w:r>
      <w:r w:rsidRPr="0040073F">
        <w:rPr>
          <w:rFonts w:asciiTheme="majorHAnsi" w:hAnsiTheme="majorHAnsi" w:cstheme="majorHAnsi"/>
          <w:i/>
          <w:sz w:val="20"/>
        </w:rPr>
        <w:t xml:space="preserve"> </w:t>
      </w:r>
      <w:r w:rsidRPr="0040073F">
        <w:rPr>
          <w:rFonts w:asciiTheme="majorHAnsi" w:hAnsiTheme="majorHAnsi" w:cstheme="majorHAnsi"/>
          <w:sz w:val="20"/>
        </w:rPr>
        <w:t>ALRC Report 124, (2014).</w:t>
      </w:r>
    </w:p>
  </w:footnote>
  <w:footnote w:id="12">
    <w:p w:rsidR="00DD224E" w:rsidRPr="0040073F" w:rsidRDefault="00DD224E" w:rsidP="001C1253">
      <w:pPr>
        <w:pStyle w:val="NoSpacing"/>
        <w:rPr>
          <w:rFonts w:asciiTheme="majorHAnsi" w:hAnsiTheme="majorHAnsi" w:cstheme="majorHAnsi"/>
          <w:sz w:val="20"/>
        </w:rPr>
      </w:pPr>
      <w:r w:rsidRPr="0040073F">
        <w:rPr>
          <w:rStyle w:val="FootnoteReference"/>
          <w:rFonts w:asciiTheme="majorHAnsi" w:hAnsiTheme="majorHAnsi" w:cstheme="majorHAnsi"/>
          <w:sz w:val="20"/>
        </w:rPr>
        <w:footnoteRef/>
      </w:r>
      <w:r w:rsidRPr="0040073F">
        <w:rPr>
          <w:rFonts w:asciiTheme="majorHAnsi" w:hAnsiTheme="majorHAnsi" w:cstheme="majorHAnsi"/>
          <w:sz w:val="20"/>
        </w:rPr>
        <w:t xml:space="preserve"> </w:t>
      </w:r>
      <w:r>
        <w:rPr>
          <w:rFonts w:asciiTheme="majorHAnsi" w:hAnsiTheme="majorHAnsi" w:cstheme="majorHAnsi"/>
          <w:sz w:val="20"/>
        </w:rPr>
        <w:t xml:space="preserve">UPR </w:t>
      </w:r>
      <w:r w:rsidRPr="0040073F">
        <w:rPr>
          <w:rFonts w:asciiTheme="majorHAnsi" w:hAnsiTheme="majorHAnsi" w:cstheme="majorHAnsi"/>
          <w:sz w:val="20"/>
        </w:rPr>
        <w:t xml:space="preserve">Disability Coordination Group </w:t>
      </w:r>
      <w:hyperlink r:id="rId5" w:history="1">
        <w:r w:rsidRPr="0040073F">
          <w:rPr>
            <w:rStyle w:val="Hyperlink"/>
            <w:rFonts w:asciiTheme="majorHAnsi" w:hAnsiTheme="majorHAnsi" w:cstheme="majorHAnsi"/>
            <w:sz w:val="20"/>
          </w:rPr>
          <w:t>UPR Fact Sheet 2: Indefinite Detention</w:t>
        </w:r>
      </w:hyperlink>
      <w:r w:rsidRPr="0040073F">
        <w:rPr>
          <w:rFonts w:asciiTheme="majorHAnsi" w:hAnsiTheme="majorHAnsi" w:cstheme="majorHAnsi"/>
          <w:sz w:val="20"/>
        </w:rPr>
        <w:t>, May 2015</w:t>
      </w:r>
    </w:p>
  </w:footnote>
  <w:footnote w:id="13">
    <w:p w:rsidR="00DD224E" w:rsidRPr="0040073F" w:rsidRDefault="00DD224E" w:rsidP="001C1253">
      <w:pPr>
        <w:pStyle w:val="NoSpacing"/>
        <w:rPr>
          <w:rFonts w:asciiTheme="majorHAnsi" w:hAnsiTheme="majorHAnsi" w:cstheme="majorHAnsi"/>
          <w:sz w:val="20"/>
        </w:rPr>
      </w:pPr>
      <w:r w:rsidRPr="0040073F">
        <w:rPr>
          <w:rStyle w:val="FootnoteReference"/>
          <w:rFonts w:asciiTheme="majorHAnsi" w:hAnsiTheme="majorHAnsi" w:cstheme="majorHAnsi"/>
          <w:sz w:val="20"/>
        </w:rPr>
        <w:footnoteRef/>
      </w:r>
      <w:r w:rsidRPr="0040073F">
        <w:rPr>
          <w:rFonts w:asciiTheme="majorHAnsi" w:hAnsiTheme="majorHAnsi" w:cstheme="majorHAnsi"/>
          <w:sz w:val="20"/>
        </w:rPr>
        <w:t xml:space="preserve"> </w:t>
      </w:r>
      <w:r>
        <w:rPr>
          <w:rFonts w:asciiTheme="majorHAnsi" w:hAnsiTheme="majorHAnsi" w:cstheme="majorHAnsi"/>
          <w:sz w:val="20"/>
        </w:rPr>
        <w:t xml:space="preserve">See also </w:t>
      </w:r>
      <w:r w:rsidRPr="0040073F">
        <w:rPr>
          <w:rFonts w:asciiTheme="majorHAnsi" w:hAnsiTheme="majorHAnsi" w:cstheme="majorHAnsi"/>
          <w:sz w:val="20"/>
        </w:rPr>
        <w:t xml:space="preserve">Michael </w:t>
      </w:r>
      <w:proofErr w:type="spellStart"/>
      <w:r w:rsidRPr="0040073F">
        <w:rPr>
          <w:rFonts w:asciiTheme="majorHAnsi" w:hAnsiTheme="majorHAnsi" w:cstheme="majorHAnsi"/>
          <w:sz w:val="20"/>
        </w:rPr>
        <w:t>Brull</w:t>
      </w:r>
      <w:proofErr w:type="spellEnd"/>
      <w:r w:rsidRPr="0040073F">
        <w:rPr>
          <w:rFonts w:asciiTheme="majorHAnsi" w:hAnsiTheme="majorHAnsi" w:cstheme="majorHAnsi"/>
          <w:sz w:val="20"/>
        </w:rPr>
        <w:t xml:space="preserve">, ‘The sad story of Marlon Noble’ on ABC Ramp Up, </w:t>
      </w:r>
      <w:r w:rsidRPr="0040073F">
        <w:rPr>
          <w:rFonts w:asciiTheme="majorHAnsi" w:hAnsiTheme="majorHAnsi" w:cstheme="majorHAnsi"/>
          <w:i/>
          <w:sz w:val="20"/>
        </w:rPr>
        <w:t xml:space="preserve">Ramp Up </w:t>
      </w:r>
      <w:r w:rsidRPr="0040073F">
        <w:rPr>
          <w:rFonts w:asciiTheme="majorHAnsi" w:hAnsiTheme="majorHAnsi" w:cstheme="majorHAnsi"/>
          <w:sz w:val="20"/>
        </w:rPr>
        <w:t>(9 December 2011) &lt;</w:t>
      </w:r>
      <w:hyperlink r:id="rId6" w:history="1">
        <w:r w:rsidRPr="0040073F">
          <w:rPr>
            <w:rStyle w:val="Hyperlink"/>
            <w:rFonts w:asciiTheme="majorHAnsi" w:hAnsiTheme="majorHAnsi" w:cstheme="majorHAnsi"/>
            <w:sz w:val="20"/>
          </w:rPr>
          <w:t>www.abc.net.au/rampup/articles/2011/12/09/3387845.htm</w:t>
        </w:r>
      </w:hyperlink>
      <w:r w:rsidRPr="0040073F">
        <w:rPr>
          <w:rFonts w:asciiTheme="majorHAnsi" w:hAnsiTheme="majorHAnsi" w:cstheme="majorHAnsi"/>
          <w:sz w:val="20"/>
        </w:rPr>
        <w:t>&gt;.</w:t>
      </w:r>
    </w:p>
  </w:footnote>
  <w:footnote w:id="14">
    <w:p w:rsidR="00DD224E" w:rsidRPr="007C278B" w:rsidRDefault="00DD224E" w:rsidP="001C1253">
      <w:pPr>
        <w:pStyle w:val="NoSpacing"/>
        <w:rPr>
          <w:rFonts w:asciiTheme="majorHAnsi" w:hAnsiTheme="majorHAnsi" w:cstheme="majorHAnsi"/>
          <w:sz w:val="20"/>
        </w:rPr>
      </w:pPr>
      <w:r w:rsidRPr="007C278B">
        <w:rPr>
          <w:rStyle w:val="FootnoteReference"/>
          <w:rFonts w:asciiTheme="majorHAnsi" w:hAnsiTheme="majorHAnsi" w:cstheme="majorHAnsi"/>
          <w:sz w:val="20"/>
        </w:rPr>
        <w:footnoteRef/>
      </w:r>
      <w:r w:rsidRPr="007C278B">
        <w:rPr>
          <w:rFonts w:asciiTheme="majorHAnsi" w:hAnsiTheme="majorHAnsi" w:cstheme="majorHAnsi"/>
          <w:sz w:val="20"/>
        </w:rPr>
        <w:t xml:space="preserve"> </w:t>
      </w:r>
      <w:r>
        <w:rPr>
          <w:rFonts w:asciiTheme="majorHAnsi" w:hAnsiTheme="majorHAnsi" w:cstheme="majorHAnsi"/>
          <w:sz w:val="20"/>
        </w:rPr>
        <w:t>Points 12-17 in this s</w:t>
      </w:r>
      <w:r w:rsidRPr="007C278B">
        <w:rPr>
          <w:rFonts w:asciiTheme="majorHAnsi" w:hAnsiTheme="majorHAnsi" w:cstheme="majorHAnsi"/>
          <w:sz w:val="20"/>
        </w:rPr>
        <w:t xml:space="preserve">ection </w:t>
      </w:r>
      <w:r>
        <w:rPr>
          <w:rFonts w:asciiTheme="majorHAnsi" w:hAnsiTheme="majorHAnsi" w:cstheme="majorHAnsi"/>
          <w:sz w:val="20"/>
        </w:rPr>
        <w:t xml:space="preserve">has been </w:t>
      </w:r>
      <w:r w:rsidRPr="007C278B">
        <w:rPr>
          <w:rFonts w:asciiTheme="majorHAnsi" w:hAnsiTheme="majorHAnsi" w:cstheme="majorHAnsi"/>
          <w:sz w:val="20"/>
        </w:rPr>
        <w:t xml:space="preserve">extracted from </w:t>
      </w:r>
      <w:r>
        <w:rPr>
          <w:rFonts w:asciiTheme="majorHAnsi" w:hAnsiTheme="majorHAnsi" w:cstheme="majorHAnsi"/>
          <w:sz w:val="20"/>
        </w:rPr>
        <w:t xml:space="preserve">Frohmader, C., &amp; Sands, T., (2015) </w:t>
      </w:r>
      <w:r w:rsidRPr="007C278B">
        <w:rPr>
          <w:rFonts w:asciiTheme="majorHAnsi" w:hAnsiTheme="majorHAnsi" w:cstheme="majorHAnsi"/>
          <w:i/>
          <w:sz w:val="20"/>
        </w:rPr>
        <w:t xml:space="preserve">Australian Cross Disability Alliance (ACDA) Submission to the Senate Inquiry into Violence, abuse and neglect against people with disability </w:t>
      </w:r>
      <w:r>
        <w:rPr>
          <w:rFonts w:asciiTheme="majorHAnsi" w:hAnsiTheme="majorHAnsi" w:cstheme="majorHAnsi"/>
          <w:i/>
          <w:sz w:val="20"/>
        </w:rPr>
        <w:t xml:space="preserve">in </w:t>
      </w:r>
      <w:r w:rsidRPr="007C278B">
        <w:rPr>
          <w:rFonts w:asciiTheme="majorHAnsi" w:hAnsiTheme="majorHAnsi" w:cstheme="majorHAnsi"/>
          <w:i/>
          <w:sz w:val="20"/>
        </w:rPr>
        <w:t>institutional and residential settings</w:t>
      </w:r>
      <w:r>
        <w:rPr>
          <w:rFonts w:asciiTheme="majorHAnsi" w:hAnsiTheme="majorHAnsi" w:cstheme="majorHAnsi"/>
          <w:sz w:val="20"/>
        </w:rPr>
        <w:t xml:space="preserve">, </w:t>
      </w:r>
      <w:r w:rsidRPr="007C278B">
        <w:rPr>
          <w:rFonts w:asciiTheme="majorHAnsi" w:hAnsiTheme="majorHAnsi" w:cstheme="majorHAnsi"/>
          <w:sz w:val="20"/>
        </w:rPr>
        <w:t>ACDA</w:t>
      </w:r>
      <w:r>
        <w:rPr>
          <w:rFonts w:asciiTheme="majorHAnsi" w:hAnsiTheme="majorHAnsi" w:cstheme="majorHAnsi"/>
          <w:sz w:val="20"/>
        </w:rPr>
        <w:t>, Sydney, Australia p. 48.</w:t>
      </w:r>
    </w:p>
  </w:footnote>
  <w:footnote w:id="15">
    <w:p w:rsidR="00DD224E" w:rsidRPr="007C278B" w:rsidRDefault="00DD224E" w:rsidP="001C1253">
      <w:pPr>
        <w:pStyle w:val="NoSpacing"/>
        <w:rPr>
          <w:rFonts w:asciiTheme="majorHAnsi" w:hAnsiTheme="majorHAnsi" w:cstheme="majorHAnsi"/>
          <w:sz w:val="20"/>
        </w:rPr>
      </w:pPr>
      <w:r w:rsidRPr="007C278B">
        <w:rPr>
          <w:rStyle w:val="FootnoteReference"/>
          <w:rFonts w:asciiTheme="majorHAnsi" w:hAnsiTheme="majorHAnsi" w:cstheme="majorHAnsi"/>
          <w:sz w:val="20"/>
        </w:rPr>
        <w:footnoteRef/>
      </w:r>
      <w:r w:rsidRPr="007C278B">
        <w:rPr>
          <w:rFonts w:asciiTheme="majorHAnsi" w:hAnsiTheme="majorHAnsi" w:cstheme="majorHAnsi"/>
          <w:sz w:val="20"/>
        </w:rPr>
        <w:t xml:space="preserve"> CRPD/C/AUS/CO/1, </w:t>
      </w:r>
      <w:proofErr w:type="spellStart"/>
      <w:r w:rsidRPr="007C278B">
        <w:rPr>
          <w:rFonts w:asciiTheme="majorHAnsi" w:hAnsiTheme="majorHAnsi" w:cstheme="majorHAnsi"/>
          <w:sz w:val="20"/>
        </w:rPr>
        <w:t>para</w:t>
      </w:r>
      <w:proofErr w:type="spellEnd"/>
      <w:r w:rsidRPr="007C278B">
        <w:rPr>
          <w:rFonts w:asciiTheme="majorHAnsi" w:hAnsiTheme="majorHAnsi" w:cstheme="majorHAnsi"/>
          <w:sz w:val="20"/>
        </w:rPr>
        <w:t xml:space="preserve"> 32(a)</w:t>
      </w:r>
    </w:p>
  </w:footnote>
  <w:footnote w:id="16">
    <w:p w:rsidR="00DD224E" w:rsidRPr="007C278B" w:rsidRDefault="00DD224E" w:rsidP="001C1253">
      <w:pPr>
        <w:pStyle w:val="NoSpacing"/>
        <w:rPr>
          <w:rFonts w:asciiTheme="majorHAnsi" w:hAnsiTheme="majorHAnsi" w:cstheme="majorHAnsi"/>
          <w:sz w:val="20"/>
        </w:rPr>
      </w:pPr>
      <w:r w:rsidRPr="007C278B">
        <w:rPr>
          <w:rStyle w:val="FootnoteReference"/>
          <w:rFonts w:asciiTheme="majorHAnsi" w:hAnsiTheme="majorHAnsi" w:cstheme="majorHAnsi"/>
          <w:sz w:val="20"/>
        </w:rPr>
        <w:footnoteRef/>
      </w:r>
      <w:r w:rsidRPr="007C278B">
        <w:rPr>
          <w:rFonts w:asciiTheme="majorHAnsi" w:hAnsiTheme="majorHAnsi" w:cstheme="majorHAnsi"/>
          <w:sz w:val="20"/>
        </w:rPr>
        <w:t xml:space="preserve"> </w:t>
      </w:r>
      <w:r w:rsidRPr="007C278B">
        <w:rPr>
          <w:rFonts w:asciiTheme="majorHAnsi" w:hAnsiTheme="majorHAnsi" w:cstheme="majorHAnsi"/>
          <w:i/>
          <w:sz w:val="20"/>
        </w:rPr>
        <w:t>KA, KB, KC and KD v Commonwealth of Australia</w:t>
      </w:r>
      <w:r w:rsidRPr="007C278B">
        <w:rPr>
          <w:rFonts w:asciiTheme="majorHAnsi" w:hAnsiTheme="majorHAnsi" w:cstheme="majorHAnsi"/>
          <w:sz w:val="20"/>
        </w:rPr>
        <w:t xml:space="preserve"> (2014) </w:t>
      </w:r>
      <w:proofErr w:type="spellStart"/>
      <w:r w:rsidRPr="007C278B">
        <w:rPr>
          <w:rFonts w:asciiTheme="majorHAnsi" w:hAnsiTheme="majorHAnsi" w:cstheme="majorHAnsi"/>
          <w:sz w:val="20"/>
        </w:rPr>
        <w:t>AusHRC</w:t>
      </w:r>
      <w:proofErr w:type="spellEnd"/>
      <w:r w:rsidRPr="007C278B">
        <w:rPr>
          <w:rFonts w:asciiTheme="majorHAnsi" w:hAnsiTheme="majorHAnsi" w:cstheme="majorHAnsi"/>
          <w:sz w:val="20"/>
        </w:rPr>
        <w:t xml:space="preserve"> 80, </w:t>
      </w:r>
      <w:proofErr w:type="spellStart"/>
      <w:r w:rsidRPr="007C278B">
        <w:rPr>
          <w:rFonts w:asciiTheme="majorHAnsi" w:hAnsiTheme="majorHAnsi" w:cstheme="majorHAnsi"/>
          <w:sz w:val="20"/>
        </w:rPr>
        <w:t>para</w:t>
      </w:r>
      <w:proofErr w:type="spellEnd"/>
      <w:r w:rsidRPr="007C278B">
        <w:rPr>
          <w:rFonts w:asciiTheme="majorHAnsi" w:hAnsiTheme="majorHAnsi" w:cstheme="majorHAnsi"/>
          <w:sz w:val="20"/>
        </w:rPr>
        <w:t xml:space="preserve"> 273</w:t>
      </w:r>
    </w:p>
  </w:footnote>
  <w:footnote w:id="17">
    <w:p w:rsidR="00DD224E" w:rsidRPr="007C278B" w:rsidRDefault="00DD224E" w:rsidP="001C1253">
      <w:pPr>
        <w:pStyle w:val="NoSpacing"/>
        <w:rPr>
          <w:rFonts w:asciiTheme="majorHAnsi" w:hAnsiTheme="majorHAnsi" w:cstheme="majorHAnsi"/>
          <w:sz w:val="20"/>
        </w:rPr>
      </w:pPr>
      <w:r w:rsidRPr="007C278B">
        <w:rPr>
          <w:rStyle w:val="FootnoteReference"/>
          <w:rFonts w:asciiTheme="majorHAnsi" w:hAnsiTheme="majorHAnsi" w:cstheme="majorHAnsi"/>
          <w:sz w:val="20"/>
        </w:rPr>
        <w:footnoteRef/>
      </w:r>
      <w:r w:rsidRPr="007C278B">
        <w:rPr>
          <w:rFonts w:asciiTheme="majorHAnsi" w:hAnsiTheme="majorHAnsi" w:cstheme="majorHAnsi"/>
          <w:sz w:val="20"/>
        </w:rPr>
        <w:t xml:space="preserve"> Ibid </w:t>
      </w:r>
      <w:proofErr w:type="spellStart"/>
      <w:r w:rsidRPr="007C278B">
        <w:rPr>
          <w:rFonts w:asciiTheme="majorHAnsi" w:hAnsiTheme="majorHAnsi" w:cstheme="majorHAnsi"/>
          <w:sz w:val="20"/>
        </w:rPr>
        <w:t>para</w:t>
      </w:r>
      <w:proofErr w:type="spellEnd"/>
      <w:r w:rsidRPr="007C278B">
        <w:rPr>
          <w:rFonts w:asciiTheme="majorHAnsi" w:hAnsiTheme="majorHAnsi" w:cstheme="majorHAnsi"/>
          <w:sz w:val="20"/>
        </w:rPr>
        <w:t xml:space="preserve"> 10</w:t>
      </w:r>
    </w:p>
  </w:footnote>
  <w:footnote w:id="18">
    <w:p w:rsidR="00DD224E" w:rsidRPr="007C278B" w:rsidRDefault="00DD224E" w:rsidP="001C1253">
      <w:pPr>
        <w:pStyle w:val="NoSpacing"/>
        <w:rPr>
          <w:rFonts w:asciiTheme="majorHAnsi" w:hAnsiTheme="majorHAnsi" w:cstheme="majorHAnsi"/>
          <w:sz w:val="20"/>
        </w:rPr>
      </w:pPr>
      <w:r w:rsidRPr="007C278B">
        <w:rPr>
          <w:rStyle w:val="FootnoteReference"/>
          <w:rFonts w:asciiTheme="majorHAnsi" w:hAnsiTheme="majorHAnsi" w:cstheme="majorHAnsi"/>
          <w:sz w:val="20"/>
        </w:rPr>
        <w:footnoteRef/>
      </w:r>
      <w:r w:rsidRPr="007C278B">
        <w:rPr>
          <w:rFonts w:asciiTheme="majorHAnsi" w:hAnsiTheme="majorHAnsi" w:cstheme="majorHAnsi"/>
          <w:sz w:val="20"/>
        </w:rPr>
        <w:t xml:space="preserve"> </w:t>
      </w:r>
      <w:r w:rsidRPr="007C278B">
        <w:rPr>
          <w:rFonts w:asciiTheme="majorHAnsi" w:hAnsiTheme="majorHAnsi" w:cstheme="majorHAnsi"/>
          <w:i/>
          <w:sz w:val="20"/>
        </w:rPr>
        <w:t>International Covenant on Civil and Political Rights</w:t>
      </w:r>
      <w:r w:rsidRPr="007C278B">
        <w:rPr>
          <w:rFonts w:asciiTheme="majorHAnsi" w:hAnsiTheme="majorHAnsi" w:cstheme="majorHAnsi"/>
          <w:sz w:val="20"/>
        </w:rPr>
        <w:t>, opened for signature 16 December 1966, 999 UNTS 171 (entered into force 23 March 1976)</w:t>
      </w:r>
    </w:p>
  </w:footnote>
  <w:footnote w:id="19">
    <w:p w:rsidR="00DD224E" w:rsidRPr="007C278B" w:rsidRDefault="00DD224E" w:rsidP="001C1253">
      <w:pPr>
        <w:pStyle w:val="NoSpacing"/>
        <w:rPr>
          <w:rFonts w:asciiTheme="majorHAnsi" w:hAnsiTheme="majorHAnsi" w:cstheme="majorHAnsi"/>
          <w:sz w:val="20"/>
        </w:rPr>
      </w:pPr>
      <w:r w:rsidRPr="007C278B">
        <w:rPr>
          <w:rStyle w:val="FootnoteReference"/>
          <w:rFonts w:asciiTheme="majorHAnsi" w:hAnsiTheme="majorHAnsi" w:cstheme="majorHAnsi"/>
          <w:sz w:val="20"/>
        </w:rPr>
        <w:footnoteRef/>
      </w:r>
      <w:r w:rsidRPr="007C278B">
        <w:rPr>
          <w:rFonts w:asciiTheme="majorHAnsi" w:hAnsiTheme="majorHAnsi" w:cstheme="majorHAnsi"/>
          <w:sz w:val="20"/>
        </w:rPr>
        <w:t xml:space="preserve"> </w:t>
      </w:r>
      <w:r w:rsidRPr="007C278B">
        <w:rPr>
          <w:rFonts w:asciiTheme="majorHAnsi" w:hAnsiTheme="majorHAnsi" w:cstheme="majorHAnsi"/>
          <w:i/>
          <w:sz w:val="20"/>
        </w:rPr>
        <w:t>KA, KB, KC and KD v Commonwealth of Australia,</w:t>
      </w:r>
      <w:r w:rsidRPr="007C278B">
        <w:rPr>
          <w:rFonts w:asciiTheme="majorHAnsi" w:hAnsiTheme="majorHAnsi" w:cstheme="majorHAnsi"/>
          <w:sz w:val="20"/>
        </w:rPr>
        <w:t xml:space="preserve"> </w:t>
      </w:r>
      <w:proofErr w:type="spellStart"/>
      <w:r w:rsidRPr="007C278B">
        <w:rPr>
          <w:rFonts w:asciiTheme="majorHAnsi" w:hAnsiTheme="majorHAnsi" w:cstheme="majorHAnsi"/>
          <w:sz w:val="20"/>
        </w:rPr>
        <w:t>OpCit</w:t>
      </w:r>
      <w:proofErr w:type="spellEnd"/>
      <w:r w:rsidRPr="007C278B">
        <w:rPr>
          <w:rFonts w:asciiTheme="majorHAnsi" w:hAnsiTheme="majorHAnsi" w:cstheme="majorHAnsi"/>
          <w:sz w:val="20"/>
        </w:rPr>
        <w:t xml:space="preserve">., </w:t>
      </w:r>
      <w:proofErr w:type="spellStart"/>
      <w:r w:rsidRPr="007C278B">
        <w:rPr>
          <w:rFonts w:asciiTheme="majorHAnsi" w:hAnsiTheme="majorHAnsi" w:cstheme="majorHAnsi"/>
          <w:sz w:val="20"/>
        </w:rPr>
        <w:t>para</w:t>
      </w:r>
      <w:proofErr w:type="spellEnd"/>
      <w:r w:rsidRPr="007C278B">
        <w:rPr>
          <w:rFonts w:asciiTheme="majorHAnsi" w:hAnsiTheme="majorHAnsi" w:cstheme="majorHAnsi"/>
          <w:sz w:val="20"/>
        </w:rPr>
        <w:t xml:space="preserve"> 273</w:t>
      </w:r>
    </w:p>
  </w:footnote>
  <w:footnote w:id="20">
    <w:p w:rsidR="00DD224E" w:rsidRPr="007C278B" w:rsidRDefault="00DD224E" w:rsidP="001C1253">
      <w:pPr>
        <w:pStyle w:val="NoSpacing"/>
        <w:rPr>
          <w:rFonts w:asciiTheme="majorHAnsi" w:hAnsiTheme="majorHAnsi" w:cstheme="majorHAnsi"/>
          <w:sz w:val="20"/>
        </w:rPr>
      </w:pPr>
      <w:r w:rsidRPr="007C278B">
        <w:rPr>
          <w:rStyle w:val="FootnoteReference"/>
          <w:rFonts w:asciiTheme="majorHAnsi" w:hAnsiTheme="majorHAnsi" w:cstheme="majorHAnsi"/>
          <w:sz w:val="20"/>
        </w:rPr>
        <w:footnoteRef/>
      </w:r>
      <w:r w:rsidRPr="007C278B">
        <w:rPr>
          <w:rFonts w:asciiTheme="majorHAnsi" w:hAnsiTheme="majorHAnsi" w:cstheme="majorHAnsi"/>
          <w:sz w:val="20"/>
        </w:rPr>
        <w:t xml:space="preserve"> Attorney-General for Australia, Senator the Hon George </w:t>
      </w:r>
      <w:proofErr w:type="spellStart"/>
      <w:r w:rsidRPr="007C278B">
        <w:rPr>
          <w:rFonts w:asciiTheme="majorHAnsi" w:hAnsiTheme="majorHAnsi" w:cstheme="majorHAnsi"/>
          <w:sz w:val="20"/>
        </w:rPr>
        <w:t>Brandis</w:t>
      </w:r>
      <w:proofErr w:type="spellEnd"/>
      <w:r w:rsidRPr="007C278B">
        <w:rPr>
          <w:rFonts w:asciiTheme="majorHAnsi" w:hAnsiTheme="majorHAnsi" w:cstheme="majorHAnsi"/>
          <w:sz w:val="20"/>
        </w:rPr>
        <w:t xml:space="preserve"> QC, </w:t>
      </w:r>
      <w:r w:rsidRPr="007C278B">
        <w:rPr>
          <w:rFonts w:asciiTheme="majorHAnsi" w:hAnsiTheme="majorHAnsi" w:cstheme="majorHAnsi"/>
          <w:i/>
          <w:sz w:val="20"/>
        </w:rPr>
        <w:t xml:space="preserve">Statement on the tabling of the Australian Human Rights Commission Report – KA, KB, KC and KD v Commonwealth of Australia [2014] </w:t>
      </w:r>
      <w:proofErr w:type="spellStart"/>
      <w:r w:rsidRPr="007C278B">
        <w:rPr>
          <w:rFonts w:asciiTheme="majorHAnsi" w:hAnsiTheme="majorHAnsi" w:cstheme="majorHAnsi"/>
          <w:i/>
          <w:sz w:val="20"/>
        </w:rPr>
        <w:t>AusHRC</w:t>
      </w:r>
      <w:proofErr w:type="spellEnd"/>
      <w:r w:rsidRPr="007C278B">
        <w:rPr>
          <w:rFonts w:asciiTheme="majorHAnsi" w:hAnsiTheme="majorHAnsi" w:cstheme="majorHAnsi"/>
          <w:i/>
          <w:sz w:val="20"/>
        </w:rPr>
        <w:t xml:space="preserve"> 80</w:t>
      </w:r>
      <w:r w:rsidRPr="007C278B">
        <w:rPr>
          <w:rFonts w:asciiTheme="majorHAnsi" w:hAnsiTheme="majorHAnsi" w:cstheme="majorHAnsi"/>
          <w:sz w:val="20"/>
        </w:rPr>
        <w:t>, Australian Government, p 2.</w:t>
      </w:r>
    </w:p>
  </w:footnote>
  <w:footnote w:id="21">
    <w:p w:rsidR="00DD224E" w:rsidRPr="00B6170D" w:rsidRDefault="00DD224E">
      <w:pPr>
        <w:pStyle w:val="FootnoteText"/>
        <w:rPr>
          <w:rFonts w:asciiTheme="majorHAnsi" w:hAnsiTheme="majorHAnsi" w:cstheme="majorHAnsi"/>
          <w:sz w:val="20"/>
          <w:szCs w:val="20"/>
        </w:rPr>
      </w:pPr>
      <w:r w:rsidRPr="00B6170D">
        <w:rPr>
          <w:rStyle w:val="FootnoteReference"/>
          <w:rFonts w:asciiTheme="majorHAnsi" w:hAnsiTheme="majorHAnsi" w:cstheme="majorHAnsi"/>
          <w:sz w:val="20"/>
          <w:szCs w:val="20"/>
        </w:rPr>
        <w:footnoteRef/>
      </w:r>
      <w:r w:rsidRPr="00B6170D">
        <w:rPr>
          <w:rFonts w:asciiTheme="majorHAnsi" w:hAnsiTheme="majorHAnsi" w:cstheme="majorHAnsi"/>
          <w:sz w:val="20"/>
          <w:szCs w:val="20"/>
        </w:rPr>
        <w:t xml:space="preserve"> See People with Disability Australia (2014), </w:t>
      </w:r>
      <w:r w:rsidRPr="00B6170D">
        <w:rPr>
          <w:rFonts w:asciiTheme="majorHAnsi" w:hAnsiTheme="majorHAnsi" w:cstheme="majorHAnsi"/>
          <w:i/>
          <w:sz w:val="20"/>
          <w:szCs w:val="20"/>
        </w:rPr>
        <w:t>Consideration of the 4th and 5th Reports of Australia by the Committee to the Convention Against Torture</w:t>
      </w:r>
      <w:r w:rsidRPr="00B6170D">
        <w:rPr>
          <w:rFonts w:asciiTheme="majorHAnsi" w:hAnsiTheme="majorHAnsi" w:cstheme="majorHAnsi"/>
          <w:sz w:val="20"/>
          <w:szCs w:val="20"/>
        </w:rPr>
        <w:t xml:space="preserve"> at </w:t>
      </w:r>
      <w:hyperlink r:id="rId7" w:history="1">
        <w:r w:rsidRPr="00B6170D">
          <w:rPr>
            <w:rStyle w:val="Hyperlink"/>
            <w:rFonts w:asciiTheme="majorHAnsi" w:hAnsiTheme="majorHAnsi" w:cstheme="majorHAnsi"/>
            <w:sz w:val="20"/>
            <w:szCs w:val="20"/>
          </w:rPr>
          <w:t>http://www.pwd.org.au/documents/pubs/SB14-UNCAT.doc</w:t>
        </w:r>
      </w:hyperlink>
    </w:p>
  </w:footnote>
  <w:footnote w:id="22">
    <w:p w:rsidR="00DD224E" w:rsidRPr="007D2F70" w:rsidRDefault="00DD224E" w:rsidP="001C1253">
      <w:pPr>
        <w:pStyle w:val="NoSpacing"/>
        <w:rPr>
          <w:rFonts w:asciiTheme="majorHAnsi" w:hAnsiTheme="majorHAnsi" w:cstheme="majorHAnsi"/>
          <w:sz w:val="20"/>
        </w:rPr>
      </w:pPr>
      <w:r w:rsidRPr="007D2F70">
        <w:rPr>
          <w:rStyle w:val="FootnoteReference"/>
          <w:rFonts w:asciiTheme="majorHAnsi" w:eastAsiaTheme="majorEastAsia" w:hAnsiTheme="majorHAnsi" w:cstheme="majorHAnsi"/>
          <w:sz w:val="20"/>
        </w:rPr>
        <w:footnoteRef/>
      </w:r>
      <w:r w:rsidRPr="007D2F70">
        <w:rPr>
          <w:rFonts w:asciiTheme="majorHAnsi" w:hAnsiTheme="majorHAnsi" w:cstheme="majorHAnsi"/>
          <w:sz w:val="20"/>
        </w:rPr>
        <w:t xml:space="preserve"> See People with Disability Australia (2014), </w:t>
      </w:r>
      <w:hyperlink r:id="rId8" w:history="1">
        <w:r w:rsidRPr="007D2F70">
          <w:rPr>
            <w:rStyle w:val="Hyperlink"/>
            <w:rFonts w:asciiTheme="majorHAnsi" w:hAnsiTheme="majorHAnsi" w:cstheme="majorHAnsi"/>
            <w:i/>
            <w:sz w:val="20"/>
          </w:rPr>
          <w:t>Consideration of the 4th and 5th Reports of Australia by the Committee to the Convention Against Torture</w:t>
        </w:r>
        <w:r w:rsidRPr="007D2F70">
          <w:rPr>
            <w:rStyle w:val="Hyperlink"/>
            <w:rFonts w:asciiTheme="majorHAnsi" w:hAnsiTheme="majorHAnsi" w:cstheme="majorHAnsi"/>
            <w:sz w:val="20"/>
          </w:rPr>
          <w:t xml:space="preserve"> </w:t>
        </w:r>
      </w:hyperlink>
      <w:r w:rsidRPr="007D2F70">
        <w:rPr>
          <w:rFonts w:asciiTheme="majorHAnsi" w:hAnsiTheme="majorHAnsi" w:cstheme="majorHAnsi"/>
          <w:sz w:val="20"/>
        </w:rPr>
        <w:t xml:space="preserve">p. 37. </w:t>
      </w:r>
    </w:p>
  </w:footnote>
  <w:footnote w:id="23">
    <w:p w:rsidR="00DD224E" w:rsidRPr="007D2F70" w:rsidRDefault="00DD224E" w:rsidP="001C1253">
      <w:pPr>
        <w:pStyle w:val="NoSpacing"/>
        <w:rPr>
          <w:rFonts w:asciiTheme="majorHAnsi" w:hAnsiTheme="majorHAnsi" w:cstheme="majorHAnsi"/>
          <w:sz w:val="20"/>
        </w:rPr>
      </w:pPr>
      <w:r w:rsidRPr="007D2F70">
        <w:rPr>
          <w:rStyle w:val="FootnoteReference"/>
          <w:rFonts w:asciiTheme="majorHAnsi" w:hAnsiTheme="majorHAnsi" w:cstheme="majorHAnsi"/>
          <w:sz w:val="20"/>
        </w:rPr>
        <w:footnoteRef/>
      </w:r>
      <w:r w:rsidRPr="007D2F70">
        <w:rPr>
          <w:rFonts w:asciiTheme="majorHAnsi" w:hAnsiTheme="majorHAnsi" w:cstheme="majorHAnsi"/>
          <w:sz w:val="20"/>
        </w:rPr>
        <w:t xml:space="preserve"> Ibid, </w:t>
      </w:r>
      <w:proofErr w:type="spellStart"/>
      <w:r w:rsidRPr="007D2F70">
        <w:rPr>
          <w:rFonts w:asciiTheme="majorHAnsi" w:hAnsiTheme="majorHAnsi" w:cstheme="majorHAnsi"/>
          <w:sz w:val="20"/>
        </w:rPr>
        <w:t>para</w:t>
      </w:r>
      <w:proofErr w:type="spellEnd"/>
      <w:r w:rsidRPr="007D2F70">
        <w:rPr>
          <w:rFonts w:asciiTheme="majorHAnsi" w:hAnsiTheme="majorHAnsi" w:cstheme="majorHAnsi"/>
          <w:sz w:val="20"/>
        </w:rPr>
        <w:t xml:space="preserve"> 101, p. 36</w:t>
      </w:r>
    </w:p>
  </w:footnote>
  <w:footnote w:id="24">
    <w:p w:rsidR="00DD224E" w:rsidRPr="007D2F70" w:rsidRDefault="00DD224E" w:rsidP="00B6170D">
      <w:pPr>
        <w:pStyle w:val="NoSpacing"/>
        <w:rPr>
          <w:rFonts w:asciiTheme="majorHAnsi" w:hAnsiTheme="majorHAnsi" w:cstheme="majorHAnsi"/>
          <w:sz w:val="20"/>
        </w:rPr>
      </w:pPr>
      <w:r w:rsidRPr="007D2F70">
        <w:rPr>
          <w:rStyle w:val="FootnoteReference"/>
          <w:rFonts w:asciiTheme="majorHAnsi" w:hAnsiTheme="majorHAnsi" w:cstheme="majorHAnsi"/>
          <w:sz w:val="20"/>
        </w:rPr>
        <w:footnoteRef/>
      </w:r>
      <w:r w:rsidRPr="007D2F70">
        <w:rPr>
          <w:rFonts w:asciiTheme="majorHAnsi" w:hAnsiTheme="majorHAnsi" w:cstheme="majorHAnsi"/>
          <w:sz w:val="20"/>
        </w:rPr>
        <w:t xml:space="preserve"> Australian Law Reform Commission (2014) </w:t>
      </w:r>
      <w:proofErr w:type="spellStart"/>
      <w:r w:rsidRPr="007D2F70">
        <w:rPr>
          <w:rFonts w:asciiTheme="majorHAnsi" w:hAnsiTheme="majorHAnsi" w:cstheme="majorHAnsi"/>
          <w:sz w:val="20"/>
        </w:rPr>
        <w:t>OpCit</w:t>
      </w:r>
      <w:proofErr w:type="spellEnd"/>
      <w:r w:rsidRPr="007D2F70">
        <w:rPr>
          <w:rFonts w:asciiTheme="majorHAnsi" w:hAnsiTheme="majorHAnsi" w:cstheme="majorHAnsi"/>
          <w:sz w:val="20"/>
        </w:rPr>
        <w:t>, p.191.</w:t>
      </w:r>
    </w:p>
  </w:footnote>
  <w:footnote w:id="25">
    <w:p w:rsidR="00DD224E" w:rsidRPr="003500A2" w:rsidRDefault="00DD224E" w:rsidP="001C1253">
      <w:pPr>
        <w:pStyle w:val="NoSpacing"/>
        <w:rPr>
          <w:rFonts w:asciiTheme="majorHAnsi" w:hAnsiTheme="majorHAnsi" w:cstheme="majorHAnsi"/>
          <w:sz w:val="20"/>
        </w:rPr>
      </w:pPr>
      <w:r w:rsidRPr="003500A2">
        <w:rPr>
          <w:rStyle w:val="FootnoteReference"/>
          <w:rFonts w:asciiTheme="majorHAnsi" w:hAnsiTheme="majorHAnsi" w:cstheme="majorHAnsi"/>
          <w:sz w:val="20"/>
        </w:rPr>
        <w:footnoteRef/>
      </w:r>
      <w:r w:rsidRPr="003500A2">
        <w:rPr>
          <w:rFonts w:asciiTheme="majorHAnsi" w:hAnsiTheme="majorHAnsi" w:cstheme="majorHAnsi"/>
          <w:sz w:val="20"/>
        </w:rPr>
        <w:t xml:space="preserve"> </w:t>
      </w:r>
      <w:hyperlink r:id="rId9" w:history="1">
        <w:r w:rsidRPr="003500A2">
          <w:rPr>
            <w:rStyle w:val="Hyperlink"/>
            <w:rFonts w:asciiTheme="majorHAnsi" w:hAnsiTheme="majorHAnsi" w:cstheme="majorHAnsi"/>
            <w:sz w:val="20"/>
          </w:rPr>
          <w:t>‘A plea of insanity, mental illness and the criminal justice system’,</w:t>
        </w:r>
      </w:hyperlink>
      <w:r w:rsidRPr="003500A2">
        <w:rPr>
          <w:rFonts w:asciiTheme="majorHAnsi" w:hAnsiTheme="majorHAnsi" w:cstheme="majorHAnsi"/>
          <w:sz w:val="20"/>
        </w:rPr>
        <w:t xml:space="preserve"> ABC, Lynne Malcolm, 10 June 2015,  </w:t>
      </w:r>
    </w:p>
  </w:footnote>
  <w:footnote w:id="26">
    <w:p w:rsidR="00DD224E" w:rsidRPr="003500A2" w:rsidRDefault="00DD224E" w:rsidP="001C1253">
      <w:pPr>
        <w:pStyle w:val="NoSpacing"/>
        <w:rPr>
          <w:rFonts w:asciiTheme="majorHAnsi" w:hAnsiTheme="majorHAnsi" w:cstheme="majorHAnsi"/>
          <w:sz w:val="20"/>
        </w:rPr>
      </w:pPr>
      <w:r w:rsidRPr="003500A2">
        <w:rPr>
          <w:rStyle w:val="FootnoteReference"/>
          <w:rFonts w:asciiTheme="majorHAnsi" w:hAnsiTheme="majorHAnsi" w:cstheme="majorHAnsi"/>
          <w:sz w:val="20"/>
        </w:rPr>
        <w:footnoteRef/>
      </w:r>
      <w:r w:rsidRPr="003500A2">
        <w:rPr>
          <w:rFonts w:asciiTheme="majorHAnsi" w:hAnsiTheme="majorHAnsi" w:cstheme="majorHAnsi"/>
          <w:sz w:val="20"/>
        </w:rPr>
        <w:t xml:space="preserve"> Ibid.</w:t>
      </w:r>
    </w:p>
  </w:footnote>
  <w:footnote w:id="27">
    <w:p w:rsidR="00DD224E" w:rsidRPr="003500A2" w:rsidRDefault="00DD224E" w:rsidP="001C1253">
      <w:pPr>
        <w:pStyle w:val="NoSpacing"/>
        <w:rPr>
          <w:rFonts w:asciiTheme="majorHAnsi" w:hAnsiTheme="majorHAnsi" w:cstheme="majorHAnsi"/>
          <w:sz w:val="20"/>
        </w:rPr>
      </w:pPr>
      <w:r w:rsidRPr="003500A2">
        <w:rPr>
          <w:rStyle w:val="FootnoteReference"/>
          <w:rFonts w:asciiTheme="majorHAnsi" w:hAnsiTheme="majorHAnsi" w:cstheme="majorHAnsi"/>
          <w:sz w:val="20"/>
        </w:rPr>
        <w:footnoteRef/>
      </w:r>
      <w:r w:rsidRPr="003500A2">
        <w:rPr>
          <w:rFonts w:asciiTheme="majorHAnsi" w:hAnsiTheme="majorHAnsi" w:cstheme="majorHAnsi"/>
          <w:sz w:val="20"/>
        </w:rPr>
        <w:t xml:space="preserve"> </w:t>
      </w:r>
      <w:r>
        <w:rPr>
          <w:rFonts w:asciiTheme="majorHAnsi" w:hAnsiTheme="majorHAnsi" w:cstheme="majorHAnsi"/>
          <w:sz w:val="20"/>
        </w:rPr>
        <w:t>This section is e</w:t>
      </w:r>
      <w:r w:rsidRPr="003500A2">
        <w:rPr>
          <w:rFonts w:asciiTheme="majorHAnsi" w:hAnsiTheme="majorHAnsi" w:cstheme="majorHAnsi"/>
          <w:sz w:val="20"/>
        </w:rPr>
        <w:t xml:space="preserve">xtracted from People with Disability Australia (2014), </w:t>
      </w:r>
      <w:hyperlink r:id="rId10" w:history="1">
        <w:r w:rsidRPr="003500A2">
          <w:rPr>
            <w:rStyle w:val="Hyperlink"/>
            <w:rFonts w:asciiTheme="majorHAnsi" w:hAnsiTheme="majorHAnsi" w:cstheme="majorHAnsi"/>
            <w:i/>
            <w:sz w:val="20"/>
          </w:rPr>
          <w:t>Consideration of the 4th and 5th Reports of Australia by the Committee to the Convention Against Torture</w:t>
        </w:r>
        <w:r w:rsidRPr="003500A2">
          <w:rPr>
            <w:rStyle w:val="Hyperlink"/>
            <w:rFonts w:asciiTheme="majorHAnsi" w:hAnsiTheme="majorHAnsi" w:cstheme="majorHAnsi"/>
            <w:sz w:val="20"/>
          </w:rPr>
          <w:t xml:space="preserve"> </w:t>
        </w:r>
      </w:hyperlink>
      <w:r>
        <w:rPr>
          <w:rFonts w:asciiTheme="majorHAnsi" w:hAnsiTheme="majorHAnsi" w:cstheme="majorHAnsi"/>
          <w:sz w:val="20"/>
        </w:rPr>
        <w:t>pp. 29-30.</w:t>
      </w:r>
    </w:p>
  </w:footnote>
  <w:footnote w:id="28">
    <w:p w:rsidR="00DD224E" w:rsidRPr="003500A2" w:rsidRDefault="00DD224E" w:rsidP="001C1253">
      <w:pPr>
        <w:pStyle w:val="NoSpacing"/>
        <w:rPr>
          <w:rFonts w:asciiTheme="majorHAnsi" w:hAnsiTheme="majorHAnsi" w:cstheme="majorHAnsi"/>
          <w:color w:val="auto"/>
          <w:sz w:val="20"/>
        </w:rPr>
      </w:pPr>
      <w:r w:rsidRPr="003500A2">
        <w:rPr>
          <w:rStyle w:val="FootnoteReference"/>
          <w:rFonts w:asciiTheme="majorHAnsi" w:hAnsiTheme="majorHAnsi" w:cstheme="majorHAnsi"/>
          <w:color w:val="auto"/>
          <w:sz w:val="20"/>
        </w:rPr>
        <w:footnoteRef/>
      </w:r>
      <w:r w:rsidRPr="003500A2">
        <w:rPr>
          <w:rStyle w:val="citation"/>
          <w:rFonts w:asciiTheme="majorHAnsi" w:eastAsia="SimSun" w:hAnsiTheme="majorHAnsi" w:cstheme="majorHAnsi"/>
          <w:i/>
          <w:color w:val="auto"/>
          <w:sz w:val="20"/>
        </w:rPr>
        <w:t xml:space="preserve"> Convention on the Rights of Persons with Disabilities</w:t>
      </w:r>
      <w:r w:rsidRPr="003500A2">
        <w:rPr>
          <w:rStyle w:val="citation"/>
          <w:rFonts w:asciiTheme="majorHAnsi" w:eastAsia="SimSun" w:hAnsiTheme="majorHAnsi" w:cstheme="majorHAnsi"/>
          <w:color w:val="auto"/>
          <w:sz w:val="20"/>
        </w:rPr>
        <w:t>: Declarations and Reservations</w:t>
      </w:r>
      <w:r w:rsidRPr="003500A2">
        <w:rPr>
          <w:rStyle w:val="citation"/>
          <w:rFonts w:asciiTheme="majorHAnsi" w:hAnsiTheme="majorHAnsi" w:cstheme="majorHAnsi"/>
          <w:color w:val="auto"/>
          <w:sz w:val="20"/>
        </w:rPr>
        <w:t xml:space="preserve"> (Australia).</w:t>
      </w:r>
    </w:p>
  </w:footnote>
  <w:footnote w:id="29">
    <w:p w:rsidR="00DD224E" w:rsidRPr="00155F24" w:rsidRDefault="00DD224E" w:rsidP="001C1253">
      <w:pPr>
        <w:pStyle w:val="NoSpacing"/>
        <w:rPr>
          <w:rFonts w:asciiTheme="majorHAnsi" w:hAnsiTheme="majorHAnsi" w:cstheme="majorHAnsi"/>
          <w:sz w:val="20"/>
        </w:rPr>
      </w:pPr>
      <w:r w:rsidRPr="00155F24">
        <w:rPr>
          <w:rStyle w:val="FootnoteReference"/>
          <w:rFonts w:asciiTheme="majorHAnsi" w:hAnsiTheme="majorHAnsi" w:cstheme="majorHAnsi"/>
          <w:sz w:val="20"/>
        </w:rPr>
        <w:footnoteRef/>
      </w:r>
      <w:r w:rsidRPr="00155F24">
        <w:rPr>
          <w:rFonts w:asciiTheme="majorHAnsi" w:hAnsiTheme="majorHAnsi" w:cstheme="majorHAnsi"/>
          <w:sz w:val="20"/>
        </w:rPr>
        <w:t xml:space="preserve"> Department of Human Services, ‘Review of the </w:t>
      </w:r>
      <w:r w:rsidRPr="00155F24">
        <w:rPr>
          <w:rFonts w:asciiTheme="majorHAnsi" w:hAnsiTheme="majorHAnsi" w:cstheme="majorHAnsi"/>
          <w:i/>
          <w:sz w:val="20"/>
        </w:rPr>
        <w:t>Mental Health Act 1986</w:t>
      </w:r>
      <w:r w:rsidRPr="00155F24">
        <w:rPr>
          <w:rFonts w:asciiTheme="majorHAnsi" w:hAnsiTheme="majorHAnsi" w:cstheme="majorHAnsi"/>
          <w:sz w:val="20"/>
        </w:rPr>
        <w:t>: Community Consultation Report’ (Report, Victorian Government, July 2009) 14, 19.</w:t>
      </w:r>
    </w:p>
  </w:footnote>
  <w:footnote w:id="30">
    <w:p w:rsidR="00DD224E" w:rsidRPr="00155F24" w:rsidRDefault="00DD224E" w:rsidP="001C1253">
      <w:pPr>
        <w:pStyle w:val="NoSpacing"/>
        <w:rPr>
          <w:rFonts w:asciiTheme="majorHAnsi" w:hAnsiTheme="majorHAnsi" w:cstheme="majorHAnsi"/>
          <w:sz w:val="20"/>
        </w:rPr>
      </w:pPr>
      <w:r w:rsidRPr="00155F24">
        <w:rPr>
          <w:rStyle w:val="FootnoteReference"/>
          <w:rFonts w:asciiTheme="majorHAnsi" w:hAnsiTheme="majorHAnsi" w:cstheme="majorHAnsi"/>
          <w:sz w:val="20"/>
        </w:rPr>
        <w:footnoteRef/>
      </w:r>
      <w:r w:rsidRPr="00155F24">
        <w:rPr>
          <w:rFonts w:asciiTheme="majorHAnsi" w:hAnsiTheme="majorHAnsi" w:cstheme="majorHAnsi"/>
          <w:sz w:val="20"/>
        </w:rPr>
        <w:t xml:space="preserve"> Manfred Nowak, Special Rapporteur,</w:t>
      </w:r>
      <w:r w:rsidRPr="00155F24">
        <w:rPr>
          <w:rFonts w:asciiTheme="majorHAnsi" w:hAnsiTheme="majorHAnsi" w:cstheme="majorHAnsi"/>
          <w:i/>
          <w:sz w:val="20"/>
        </w:rPr>
        <w:t xml:space="preserve"> Interim Report of the Special Rapporteur on Torture and Other Cruel, Inhuman or Degrading Treatment or Punishment</w:t>
      </w:r>
      <w:r w:rsidRPr="00155F24">
        <w:rPr>
          <w:rFonts w:asciiTheme="majorHAnsi" w:hAnsiTheme="majorHAnsi" w:cstheme="majorHAnsi"/>
          <w:sz w:val="20"/>
        </w:rPr>
        <w:t>, 63</w:t>
      </w:r>
      <w:r w:rsidRPr="00155F24">
        <w:rPr>
          <w:rFonts w:asciiTheme="majorHAnsi" w:hAnsiTheme="majorHAnsi" w:cstheme="majorHAnsi"/>
          <w:sz w:val="20"/>
          <w:vertAlign w:val="superscript"/>
        </w:rPr>
        <w:t>rd</w:t>
      </w:r>
      <w:r w:rsidRPr="00155F24">
        <w:rPr>
          <w:rFonts w:asciiTheme="majorHAnsi" w:hAnsiTheme="majorHAnsi" w:cstheme="majorHAnsi"/>
          <w:sz w:val="20"/>
        </w:rPr>
        <w:t xml:space="preserve"> </w:t>
      </w:r>
      <w:proofErr w:type="spellStart"/>
      <w:r w:rsidRPr="00155F24">
        <w:rPr>
          <w:rFonts w:asciiTheme="majorHAnsi" w:hAnsiTheme="majorHAnsi" w:cstheme="majorHAnsi"/>
          <w:sz w:val="20"/>
        </w:rPr>
        <w:t>sess</w:t>
      </w:r>
      <w:proofErr w:type="spellEnd"/>
      <w:r w:rsidRPr="00155F24">
        <w:rPr>
          <w:rFonts w:asciiTheme="majorHAnsi" w:hAnsiTheme="majorHAnsi" w:cstheme="majorHAnsi"/>
          <w:sz w:val="20"/>
        </w:rPr>
        <w:t>, UN Doc A/63/175 (28 July 2008)16.</w:t>
      </w:r>
    </w:p>
  </w:footnote>
  <w:footnote w:id="31">
    <w:p w:rsidR="00DD224E" w:rsidRDefault="00DD224E" w:rsidP="001C1253">
      <w:pPr>
        <w:pStyle w:val="NoSpacing"/>
        <w:rPr>
          <w:rFonts w:asciiTheme="majorHAnsi" w:hAnsiTheme="majorHAnsi" w:cstheme="majorHAnsi"/>
          <w:sz w:val="20"/>
        </w:rPr>
      </w:pPr>
      <w:r w:rsidRPr="00155F24">
        <w:rPr>
          <w:rStyle w:val="FootnoteReference"/>
          <w:rFonts w:asciiTheme="majorHAnsi" w:hAnsiTheme="majorHAnsi" w:cstheme="majorHAnsi"/>
          <w:sz w:val="20"/>
        </w:rPr>
        <w:footnoteRef/>
      </w:r>
      <w:r w:rsidRPr="00155F24">
        <w:rPr>
          <w:rFonts w:asciiTheme="majorHAnsi" w:hAnsiTheme="majorHAnsi" w:cstheme="majorHAnsi"/>
          <w:sz w:val="20"/>
        </w:rPr>
        <w:t xml:space="preserve"> Report of the Special Rapporteur on torture and other cruel, inhuman or degrading treatment or punishment, Juan E. Méndez Human Rights Council Twenty-second session, </w:t>
      </w:r>
    </w:p>
    <w:p w:rsidR="00DD224E" w:rsidRPr="00F3765A" w:rsidRDefault="00045F9B" w:rsidP="001C1253">
      <w:pPr>
        <w:pStyle w:val="NoSpacing"/>
        <w:rPr>
          <w:rFonts w:asciiTheme="majorHAnsi" w:hAnsiTheme="majorHAnsi" w:cstheme="majorHAnsi"/>
          <w:sz w:val="20"/>
        </w:rPr>
      </w:pPr>
      <w:hyperlink r:id="rId11" w:history="1">
        <w:r w:rsidR="00DD224E" w:rsidRPr="00F3765A">
          <w:rPr>
            <w:rStyle w:val="Hyperlink"/>
            <w:rFonts w:asciiTheme="majorHAnsi" w:hAnsiTheme="majorHAnsi" w:cstheme="majorHAnsi"/>
            <w:sz w:val="20"/>
          </w:rPr>
          <w:t>http://daccess-dds-ny.un.org/doc/UNDOC/GEN/G13/116/31/PDF/G1311631.pdf?OpenElement</w:t>
        </w:r>
      </w:hyperlink>
      <w:r w:rsidR="00DD224E" w:rsidRPr="00F3765A">
        <w:rPr>
          <w:rFonts w:asciiTheme="majorHAnsi" w:hAnsiTheme="majorHAnsi" w:cstheme="majorHAnsi"/>
          <w:sz w:val="20"/>
        </w:rPr>
        <w:t xml:space="preserve"> page 2.</w:t>
      </w:r>
    </w:p>
  </w:footnote>
  <w:footnote w:id="32">
    <w:p w:rsidR="00DD224E" w:rsidRPr="00F3765A" w:rsidRDefault="00DD224E">
      <w:pPr>
        <w:pStyle w:val="FootnoteText"/>
        <w:rPr>
          <w:sz w:val="20"/>
          <w:szCs w:val="20"/>
        </w:rPr>
      </w:pPr>
      <w:r w:rsidRPr="00F3765A">
        <w:rPr>
          <w:rStyle w:val="FootnoteReference"/>
          <w:sz w:val="20"/>
          <w:szCs w:val="20"/>
        </w:rPr>
        <w:footnoteRef/>
      </w:r>
      <w:r w:rsidRPr="00F3765A">
        <w:rPr>
          <w:sz w:val="20"/>
          <w:szCs w:val="20"/>
        </w:rPr>
        <w:t xml:space="preserve"> Case study from the Individual Advocacy </w:t>
      </w:r>
      <w:r>
        <w:rPr>
          <w:sz w:val="20"/>
          <w:szCs w:val="20"/>
        </w:rPr>
        <w:t>Program at PWDA.</w:t>
      </w:r>
    </w:p>
  </w:footnote>
  <w:footnote w:id="33">
    <w:p w:rsidR="00DD224E" w:rsidRPr="00155F24" w:rsidRDefault="00DD224E" w:rsidP="001C1253">
      <w:pPr>
        <w:pStyle w:val="NoSpacing"/>
        <w:rPr>
          <w:rFonts w:asciiTheme="majorHAnsi" w:hAnsiTheme="majorHAnsi" w:cstheme="majorHAnsi"/>
          <w:sz w:val="20"/>
        </w:rPr>
      </w:pPr>
      <w:r w:rsidRPr="00F3765A">
        <w:rPr>
          <w:rStyle w:val="FootnoteReference"/>
          <w:rFonts w:asciiTheme="majorHAnsi" w:hAnsiTheme="majorHAnsi" w:cstheme="majorHAnsi"/>
          <w:sz w:val="20"/>
        </w:rPr>
        <w:footnoteRef/>
      </w:r>
      <w:r w:rsidRPr="00F3765A">
        <w:rPr>
          <w:rFonts w:asciiTheme="majorHAnsi" w:hAnsiTheme="majorHAnsi" w:cstheme="majorHAnsi"/>
          <w:sz w:val="20"/>
        </w:rPr>
        <w:t xml:space="preserve"> </w:t>
      </w:r>
      <w:r>
        <w:rPr>
          <w:rFonts w:asciiTheme="majorHAnsi" w:hAnsiTheme="majorHAnsi" w:cstheme="majorHAnsi"/>
          <w:sz w:val="20"/>
        </w:rPr>
        <w:t>This section is e</w:t>
      </w:r>
      <w:r w:rsidRPr="00F3765A">
        <w:rPr>
          <w:rFonts w:asciiTheme="majorHAnsi" w:hAnsiTheme="majorHAnsi" w:cstheme="majorHAnsi"/>
          <w:sz w:val="20"/>
        </w:rPr>
        <w:t xml:space="preserve">xtracted from </w:t>
      </w:r>
      <w:r>
        <w:rPr>
          <w:rFonts w:asciiTheme="majorHAnsi" w:hAnsiTheme="majorHAnsi" w:cstheme="majorHAnsi"/>
          <w:sz w:val="20"/>
        </w:rPr>
        <w:t xml:space="preserve">Frohmader, C., &amp; Sands, T., (2015) </w:t>
      </w:r>
      <w:r w:rsidRPr="007C278B">
        <w:rPr>
          <w:rFonts w:asciiTheme="majorHAnsi" w:hAnsiTheme="majorHAnsi" w:cstheme="majorHAnsi"/>
          <w:i/>
          <w:sz w:val="20"/>
        </w:rPr>
        <w:t xml:space="preserve">Australian Cross Disability Alliance (ACDA) Submission to the Senate Inquiry into Violence, abuse and neglect against people with disability </w:t>
      </w:r>
      <w:r>
        <w:rPr>
          <w:rFonts w:asciiTheme="majorHAnsi" w:hAnsiTheme="majorHAnsi" w:cstheme="majorHAnsi"/>
          <w:i/>
          <w:sz w:val="20"/>
        </w:rPr>
        <w:t xml:space="preserve">in </w:t>
      </w:r>
      <w:r w:rsidRPr="007C278B">
        <w:rPr>
          <w:rFonts w:asciiTheme="majorHAnsi" w:hAnsiTheme="majorHAnsi" w:cstheme="majorHAnsi"/>
          <w:i/>
          <w:sz w:val="20"/>
        </w:rPr>
        <w:t>institutional and residential settings</w:t>
      </w:r>
      <w:r>
        <w:rPr>
          <w:rFonts w:asciiTheme="majorHAnsi" w:hAnsiTheme="majorHAnsi" w:cstheme="majorHAnsi"/>
          <w:sz w:val="20"/>
        </w:rPr>
        <w:t xml:space="preserve">, </w:t>
      </w:r>
      <w:r w:rsidRPr="007C278B">
        <w:rPr>
          <w:rFonts w:asciiTheme="majorHAnsi" w:hAnsiTheme="majorHAnsi" w:cstheme="majorHAnsi"/>
          <w:sz w:val="20"/>
        </w:rPr>
        <w:t>ACDA</w:t>
      </w:r>
      <w:r>
        <w:rPr>
          <w:rFonts w:asciiTheme="majorHAnsi" w:hAnsiTheme="majorHAnsi" w:cstheme="majorHAnsi"/>
          <w:sz w:val="20"/>
        </w:rPr>
        <w:t>, Sydney, Australia p. 51</w:t>
      </w:r>
      <w:r w:rsidRPr="00B6170D">
        <w:rPr>
          <w:rFonts w:asciiTheme="majorHAnsi" w:hAnsiTheme="majorHAnsi" w:cstheme="majorHAnsi"/>
          <w:sz w:val="20"/>
        </w:rPr>
        <w:t>.</w:t>
      </w:r>
    </w:p>
  </w:footnote>
  <w:footnote w:id="34">
    <w:p w:rsidR="00DD224E" w:rsidRPr="00155F24" w:rsidRDefault="00DD224E" w:rsidP="001C1253">
      <w:pPr>
        <w:pStyle w:val="NoSpacing"/>
        <w:rPr>
          <w:rFonts w:asciiTheme="majorHAnsi" w:hAnsiTheme="majorHAnsi" w:cstheme="majorHAnsi"/>
          <w:sz w:val="20"/>
        </w:rPr>
      </w:pPr>
      <w:r w:rsidRPr="00155F24">
        <w:rPr>
          <w:rStyle w:val="FootnoteReference"/>
          <w:rFonts w:asciiTheme="majorHAnsi" w:hAnsiTheme="majorHAnsi" w:cstheme="majorHAnsi"/>
          <w:sz w:val="20"/>
        </w:rPr>
        <w:footnoteRef/>
      </w:r>
      <w:r w:rsidRPr="00155F24">
        <w:rPr>
          <w:rFonts w:asciiTheme="majorHAnsi" w:hAnsiTheme="majorHAnsi" w:cstheme="majorHAnsi"/>
          <w:sz w:val="20"/>
        </w:rPr>
        <w:t xml:space="preserve"> See Human Rights Committee, </w:t>
      </w:r>
      <w:r w:rsidRPr="00155F24">
        <w:rPr>
          <w:rFonts w:asciiTheme="majorHAnsi" w:hAnsiTheme="majorHAnsi" w:cstheme="majorHAnsi"/>
          <w:i/>
          <w:iCs/>
          <w:sz w:val="20"/>
        </w:rPr>
        <w:t>Consideration of Reports Submitted by States Parties Under Article 40 of the Covenant – Concluding observations of the Human Rights Committee: Australia</w:t>
      </w:r>
      <w:r w:rsidRPr="00155F24">
        <w:rPr>
          <w:rFonts w:asciiTheme="majorHAnsi" w:hAnsiTheme="majorHAnsi" w:cstheme="majorHAnsi"/>
          <w:sz w:val="20"/>
        </w:rPr>
        <w:t xml:space="preserve">, 95th </w:t>
      </w:r>
      <w:proofErr w:type="spellStart"/>
      <w:r w:rsidRPr="00155F24">
        <w:rPr>
          <w:rFonts w:asciiTheme="majorHAnsi" w:hAnsiTheme="majorHAnsi" w:cstheme="majorHAnsi"/>
          <w:sz w:val="20"/>
        </w:rPr>
        <w:t>sess</w:t>
      </w:r>
      <w:proofErr w:type="spellEnd"/>
      <w:r w:rsidRPr="00155F24">
        <w:rPr>
          <w:rFonts w:asciiTheme="majorHAnsi" w:hAnsiTheme="majorHAnsi" w:cstheme="majorHAnsi"/>
          <w:sz w:val="20"/>
        </w:rPr>
        <w:t xml:space="preserve">, 2624th </w:t>
      </w:r>
      <w:proofErr w:type="spellStart"/>
      <w:r w:rsidRPr="00155F24">
        <w:rPr>
          <w:rFonts w:asciiTheme="majorHAnsi" w:hAnsiTheme="majorHAnsi" w:cstheme="majorHAnsi"/>
          <w:sz w:val="20"/>
        </w:rPr>
        <w:t>mtg</w:t>
      </w:r>
      <w:proofErr w:type="spellEnd"/>
      <w:r w:rsidRPr="00155F24">
        <w:rPr>
          <w:rFonts w:asciiTheme="majorHAnsi" w:hAnsiTheme="majorHAnsi" w:cstheme="majorHAnsi"/>
          <w:sz w:val="20"/>
        </w:rPr>
        <w:t xml:space="preserve">, UN Doc CCPR/C/AUS/CO/5 (7 May 2009) [23]-[24]; Committee on Economic, Social and Cultural Rights, </w:t>
      </w:r>
      <w:r w:rsidRPr="00155F24">
        <w:rPr>
          <w:rFonts w:asciiTheme="majorHAnsi" w:hAnsiTheme="majorHAnsi" w:cstheme="majorHAnsi"/>
          <w:i/>
          <w:iCs/>
          <w:sz w:val="20"/>
        </w:rPr>
        <w:t>Consideration of Reports Submitted by States Parties Under Articles 16 And 17 of the Covenant – Concluding Observations of the Committee on Economic, Social and Cultural Rights: Australia</w:t>
      </w:r>
      <w:r w:rsidRPr="00155F24">
        <w:rPr>
          <w:rFonts w:asciiTheme="majorHAnsi" w:hAnsiTheme="majorHAnsi" w:cstheme="majorHAnsi"/>
          <w:sz w:val="20"/>
        </w:rPr>
        <w:t xml:space="preserve">, 42nd </w:t>
      </w:r>
      <w:proofErr w:type="spellStart"/>
      <w:r w:rsidRPr="00155F24">
        <w:rPr>
          <w:rFonts w:asciiTheme="majorHAnsi" w:hAnsiTheme="majorHAnsi" w:cstheme="majorHAnsi"/>
          <w:sz w:val="20"/>
        </w:rPr>
        <w:t>sess</w:t>
      </w:r>
      <w:proofErr w:type="spellEnd"/>
      <w:r w:rsidRPr="00155F24">
        <w:rPr>
          <w:rFonts w:asciiTheme="majorHAnsi" w:hAnsiTheme="majorHAnsi" w:cstheme="majorHAnsi"/>
          <w:sz w:val="20"/>
        </w:rPr>
        <w:t xml:space="preserve">, 26th </w:t>
      </w:r>
      <w:proofErr w:type="spellStart"/>
      <w:r w:rsidRPr="00155F24">
        <w:rPr>
          <w:rFonts w:asciiTheme="majorHAnsi" w:hAnsiTheme="majorHAnsi" w:cstheme="majorHAnsi"/>
          <w:sz w:val="20"/>
        </w:rPr>
        <w:t>mtg</w:t>
      </w:r>
      <w:proofErr w:type="spellEnd"/>
      <w:r w:rsidRPr="00155F24">
        <w:rPr>
          <w:rFonts w:asciiTheme="majorHAnsi" w:hAnsiTheme="majorHAnsi" w:cstheme="majorHAnsi"/>
          <w:sz w:val="20"/>
        </w:rPr>
        <w:t xml:space="preserve">, UN Doc E/C.12/AUS/CO/4 (12 June 2009) [25], [30]; Committee on the Rights of the Child, </w:t>
      </w:r>
      <w:r w:rsidRPr="00155F24">
        <w:rPr>
          <w:rFonts w:asciiTheme="majorHAnsi" w:hAnsiTheme="majorHAnsi" w:cstheme="majorHAnsi"/>
          <w:i/>
          <w:iCs/>
          <w:sz w:val="20"/>
        </w:rPr>
        <w:t>Consideration of reports submitted by States parties under article 44 of the Convention – Concluding observations: Australia</w:t>
      </w:r>
      <w:r w:rsidRPr="00155F24">
        <w:rPr>
          <w:rFonts w:asciiTheme="majorHAnsi" w:hAnsiTheme="majorHAnsi" w:cstheme="majorHAnsi"/>
          <w:sz w:val="20"/>
        </w:rPr>
        <w:t xml:space="preserve">, 60th </w:t>
      </w:r>
      <w:proofErr w:type="spellStart"/>
      <w:r w:rsidRPr="00155F24">
        <w:rPr>
          <w:rFonts w:asciiTheme="majorHAnsi" w:hAnsiTheme="majorHAnsi" w:cstheme="majorHAnsi"/>
          <w:sz w:val="20"/>
        </w:rPr>
        <w:t>sess</w:t>
      </w:r>
      <w:proofErr w:type="spellEnd"/>
      <w:r w:rsidRPr="00155F24">
        <w:rPr>
          <w:rFonts w:asciiTheme="majorHAnsi" w:hAnsiTheme="majorHAnsi" w:cstheme="majorHAnsi"/>
          <w:sz w:val="20"/>
        </w:rPr>
        <w:t xml:space="preserve">, 1725th </w:t>
      </w:r>
      <w:proofErr w:type="spellStart"/>
      <w:r w:rsidRPr="00155F24">
        <w:rPr>
          <w:rFonts w:asciiTheme="majorHAnsi" w:hAnsiTheme="majorHAnsi" w:cstheme="majorHAnsi"/>
          <w:sz w:val="20"/>
        </w:rPr>
        <w:t>mtg</w:t>
      </w:r>
      <w:proofErr w:type="spellEnd"/>
      <w:r w:rsidRPr="00155F24">
        <w:rPr>
          <w:rFonts w:asciiTheme="majorHAnsi" w:hAnsiTheme="majorHAnsi" w:cstheme="majorHAnsi"/>
          <w:sz w:val="20"/>
        </w:rPr>
        <w:t xml:space="preserve">, UN Doc CRC/C/AUS/CO/4 (28 August 2012) [31], [80]; Committee on the Rights of the Child, </w:t>
      </w:r>
      <w:r w:rsidRPr="00155F24">
        <w:rPr>
          <w:rFonts w:asciiTheme="majorHAnsi" w:hAnsiTheme="majorHAnsi" w:cstheme="majorHAnsi"/>
          <w:i/>
          <w:iCs/>
          <w:sz w:val="20"/>
        </w:rPr>
        <w:t>Consideration of reports submitted by States parties under article 8, paragraph 1, of the Optional Protocol to the Convention on the Rights of the Child on the involvement of children in armed conflict – Concluding observations: Australia</w:t>
      </w:r>
      <w:r w:rsidRPr="00155F24">
        <w:rPr>
          <w:rFonts w:asciiTheme="majorHAnsi" w:hAnsiTheme="majorHAnsi" w:cstheme="majorHAnsi"/>
          <w:sz w:val="20"/>
        </w:rPr>
        <w:t xml:space="preserve">, 60th </w:t>
      </w:r>
      <w:proofErr w:type="spellStart"/>
      <w:r w:rsidRPr="00155F24">
        <w:rPr>
          <w:rFonts w:asciiTheme="majorHAnsi" w:hAnsiTheme="majorHAnsi" w:cstheme="majorHAnsi"/>
          <w:sz w:val="20"/>
        </w:rPr>
        <w:t>sess</w:t>
      </w:r>
      <w:proofErr w:type="spellEnd"/>
      <w:r w:rsidRPr="00155F24">
        <w:rPr>
          <w:rFonts w:asciiTheme="majorHAnsi" w:hAnsiTheme="majorHAnsi" w:cstheme="majorHAnsi"/>
          <w:sz w:val="20"/>
        </w:rPr>
        <w:t xml:space="preserve">, 1725th </w:t>
      </w:r>
      <w:proofErr w:type="spellStart"/>
      <w:r w:rsidRPr="00155F24">
        <w:rPr>
          <w:rFonts w:asciiTheme="majorHAnsi" w:hAnsiTheme="majorHAnsi" w:cstheme="majorHAnsi"/>
          <w:sz w:val="20"/>
        </w:rPr>
        <w:t>mtg</w:t>
      </w:r>
      <w:proofErr w:type="spellEnd"/>
      <w:r w:rsidRPr="00155F24">
        <w:rPr>
          <w:rFonts w:asciiTheme="majorHAnsi" w:hAnsiTheme="majorHAnsi" w:cstheme="majorHAnsi"/>
          <w:sz w:val="20"/>
        </w:rPr>
        <w:t xml:space="preserve">, UN Doc CRC/C/OPAC/AUS/CO/1 (11 July 2012) [24]; Committee on the Elimination of Racial Discrimination, </w:t>
      </w:r>
      <w:r w:rsidRPr="00155F24">
        <w:rPr>
          <w:rFonts w:asciiTheme="majorHAnsi" w:hAnsiTheme="majorHAnsi" w:cstheme="majorHAnsi"/>
          <w:i/>
          <w:iCs/>
          <w:sz w:val="20"/>
        </w:rPr>
        <w:t xml:space="preserve">Consideration of reports submitted by States parties under article 9 of the </w:t>
      </w:r>
      <w:r w:rsidRPr="00155F24">
        <w:rPr>
          <w:rFonts w:asciiTheme="majorHAnsi" w:hAnsiTheme="majorHAnsi" w:cstheme="majorHAnsi"/>
          <w:sz w:val="20"/>
        </w:rPr>
        <w:t xml:space="preserve"> </w:t>
      </w:r>
      <w:r w:rsidRPr="00155F24">
        <w:rPr>
          <w:rFonts w:asciiTheme="majorHAnsi" w:hAnsiTheme="majorHAnsi" w:cstheme="majorHAnsi"/>
          <w:i/>
          <w:iCs/>
          <w:sz w:val="20"/>
        </w:rPr>
        <w:t>convention – Concluding observations of the Committee on the Elimination of Racial Discrimination: Australia</w:t>
      </w:r>
      <w:r w:rsidRPr="00155F24">
        <w:rPr>
          <w:rFonts w:asciiTheme="majorHAnsi" w:hAnsiTheme="majorHAnsi" w:cstheme="majorHAnsi"/>
          <w:sz w:val="20"/>
        </w:rPr>
        <w:t xml:space="preserve">, 77th </w:t>
      </w:r>
      <w:proofErr w:type="spellStart"/>
      <w:r w:rsidRPr="00155F24">
        <w:rPr>
          <w:rFonts w:asciiTheme="majorHAnsi" w:hAnsiTheme="majorHAnsi" w:cstheme="majorHAnsi"/>
          <w:sz w:val="20"/>
        </w:rPr>
        <w:t>sess</w:t>
      </w:r>
      <w:proofErr w:type="spellEnd"/>
      <w:r w:rsidRPr="00155F24">
        <w:rPr>
          <w:rFonts w:asciiTheme="majorHAnsi" w:hAnsiTheme="majorHAnsi" w:cstheme="majorHAnsi"/>
          <w:sz w:val="20"/>
        </w:rPr>
        <w:t xml:space="preserve">, 2043rd </w:t>
      </w:r>
      <w:proofErr w:type="spellStart"/>
      <w:r w:rsidRPr="00155F24">
        <w:rPr>
          <w:rFonts w:asciiTheme="majorHAnsi" w:hAnsiTheme="majorHAnsi" w:cstheme="majorHAnsi"/>
          <w:sz w:val="20"/>
        </w:rPr>
        <w:t>mtg</w:t>
      </w:r>
      <w:proofErr w:type="spellEnd"/>
      <w:r w:rsidRPr="00155F24">
        <w:rPr>
          <w:rFonts w:asciiTheme="majorHAnsi" w:hAnsiTheme="majorHAnsi" w:cstheme="majorHAnsi"/>
          <w:sz w:val="20"/>
        </w:rPr>
        <w:t xml:space="preserve">, UN Doc CERD/C/AUS/CO/15-17 (27 August 2010) [24]; </w:t>
      </w:r>
      <w:proofErr w:type="spellStart"/>
      <w:r w:rsidRPr="00155F24">
        <w:rPr>
          <w:rFonts w:asciiTheme="majorHAnsi" w:hAnsiTheme="majorHAnsi" w:cstheme="majorHAnsi"/>
          <w:sz w:val="20"/>
        </w:rPr>
        <w:t>Anand</w:t>
      </w:r>
      <w:proofErr w:type="spellEnd"/>
      <w:r w:rsidRPr="00155F24">
        <w:rPr>
          <w:rFonts w:asciiTheme="majorHAnsi" w:hAnsiTheme="majorHAnsi" w:cstheme="majorHAnsi"/>
          <w:sz w:val="20"/>
        </w:rPr>
        <w:t xml:space="preserve"> Grover, Human Rights Council, </w:t>
      </w:r>
      <w:r w:rsidRPr="00155F24">
        <w:rPr>
          <w:rFonts w:asciiTheme="majorHAnsi" w:hAnsiTheme="majorHAnsi" w:cstheme="majorHAnsi"/>
          <w:i/>
          <w:iCs/>
          <w:sz w:val="20"/>
        </w:rPr>
        <w:t>Report of the Special Rapporteur on the right of everyone to the enjoyment of the highest standard of physical and mental health – Mission to Australia</w:t>
      </w:r>
      <w:r w:rsidRPr="00155F24">
        <w:rPr>
          <w:rFonts w:asciiTheme="majorHAnsi" w:hAnsiTheme="majorHAnsi" w:cstheme="majorHAnsi"/>
          <w:sz w:val="20"/>
        </w:rPr>
        <w:t xml:space="preserve">, 14th </w:t>
      </w:r>
      <w:proofErr w:type="spellStart"/>
      <w:r w:rsidRPr="00155F24">
        <w:rPr>
          <w:rFonts w:asciiTheme="majorHAnsi" w:hAnsiTheme="majorHAnsi" w:cstheme="majorHAnsi"/>
          <w:sz w:val="20"/>
        </w:rPr>
        <w:t>sess</w:t>
      </w:r>
      <w:proofErr w:type="spellEnd"/>
      <w:r w:rsidRPr="00155F24">
        <w:rPr>
          <w:rFonts w:asciiTheme="majorHAnsi" w:hAnsiTheme="majorHAnsi" w:cstheme="majorHAnsi"/>
          <w:sz w:val="20"/>
        </w:rPr>
        <w:t xml:space="preserve">, Agenda Item 3, UN Doc A/HRC/14/20/Add.4 (3 June 2010) [64]; Human Rights Council, </w:t>
      </w:r>
      <w:r w:rsidRPr="00155F24">
        <w:rPr>
          <w:rFonts w:asciiTheme="majorHAnsi" w:hAnsiTheme="majorHAnsi" w:cstheme="majorHAnsi"/>
          <w:i/>
          <w:iCs/>
          <w:sz w:val="20"/>
        </w:rPr>
        <w:t>Compilation prepared by the Office of the High Commissioner for Human Rights in accordance with paragraph 15(b) of the annex to Human Rights Council resolution 5/1: Australia</w:t>
      </w:r>
      <w:r w:rsidRPr="00155F24">
        <w:rPr>
          <w:rFonts w:asciiTheme="majorHAnsi" w:hAnsiTheme="majorHAnsi" w:cstheme="majorHAnsi"/>
          <w:sz w:val="20"/>
        </w:rPr>
        <w:t xml:space="preserve">, 10th </w:t>
      </w:r>
      <w:proofErr w:type="spellStart"/>
      <w:r w:rsidRPr="00155F24">
        <w:rPr>
          <w:rFonts w:asciiTheme="majorHAnsi" w:hAnsiTheme="majorHAnsi" w:cstheme="majorHAnsi"/>
          <w:sz w:val="20"/>
        </w:rPr>
        <w:t>sess</w:t>
      </w:r>
      <w:proofErr w:type="spellEnd"/>
      <w:r w:rsidRPr="00155F24">
        <w:rPr>
          <w:rFonts w:asciiTheme="majorHAnsi" w:hAnsiTheme="majorHAnsi" w:cstheme="majorHAnsi"/>
          <w:sz w:val="20"/>
        </w:rPr>
        <w:t xml:space="preserve">, UN Doc A/HRC/WG.6/10/AUS/2 (15 November 2010) [47]-[49]; Human Rights Council, </w:t>
      </w:r>
      <w:r w:rsidRPr="00155F24">
        <w:rPr>
          <w:rFonts w:asciiTheme="majorHAnsi" w:hAnsiTheme="majorHAnsi" w:cstheme="majorHAnsi"/>
          <w:i/>
          <w:iCs/>
          <w:sz w:val="20"/>
        </w:rPr>
        <w:t>Report of the Working Group on the Universal Periodic Review: Australia</w:t>
      </w:r>
      <w:r w:rsidRPr="00155F24">
        <w:rPr>
          <w:rFonts w:asciiTheme="majorHAnsi" w:hAnsiTheme="majorHAnsi" w:cstheme="majorHAnsi"/>
          <w:sz w:val="20"/>
        </w:rPr>
        <w:t xml:space="preserve">, 17th </w:t>
      </w:r>
      <w:proofErr w:type="spellStart"/>
      <w:r w:rsidRPr="00155F24">
        <w:rPr>
          <w:rFonts w:asciiTheme="majorHAnsi" w:hAnsiTheme="majorHAnsi" w:cstheme="majorHAnsi"/>
          <w:sz w:val="20"/>
        </w:rPr>
        <w:t>sess</w:t>
      </w:r>
      <w:proofErr w:type="spellEnd"/>
      <w:r w:rsidRPr="00155F24">
        <w:rPr>
          <w:rFonts w:asciiTheme="majorHAnsi" w:hAnsiTheme="majorHAnsi" w:cstheme="majorHAnsi"/>
          <w:sz w:val="20"/>
        </w:rPr>
        <w:t xml:space="preserve">, Agenda Item 6, UN Doc A/HRC/17/10 (24 March 2011) [18], [42], [78].  </w:t>
      </w:r>
    </w:p>
  </w:footnote>
  <w:footnote w:id="35">
    <w:p w:rsidR="00DD224E" w:rsidRPr="00155F24" w:rsidRDefault="00DD224E" w:rsidP="001C1253">
      <w:pPr>
        <w:pStyle w:val="NoSpacing"/>
        <w:rPr>
          <w:rFonts w:asciiTheme="majorHAnsi" w:hAnsiTheme="majorHAnsi" w:cstheme="majorHAnsi"/>
          <w:sz w:val="20"/>
        </w:rPr>
      </w:pPr>
      <w:r w:rsidRPr="00155F24">
        <w:rPr>
          <w:rStyle w:val="FootnoteReference"/>
          <w:rFonts w:asciiTheme="majorHAnsi" w:hAnsiTheme="majorHAnsi" w:cstheme="majorHAnsi"/>
          <w:color w:val="auto"/>
          <w:sz w:val="20"/>
        </w:rPr>
        <w:footnoteRef/>
      </w:r>
      <w:r w:rsidRPr="00155F24">
        <w:rPr>
          <w:rFonts w:asciiTheme="majorHAnsi" w:hAnsiTheme="majorHAnsi" w:cstheme="majorHAnsi"/>
          <w:sz w:val="20"/>
        </w:rPr>
        <w:t xml:space="preserve"> Committee against Torture, </w:t>
      </w:r>
      <w:r w:rsidRPr="00155F24">
        <w:rPr>
          <w:rFonts w:asciiTheme="majorHAnsi" w:hAnsiTheme="majorHAnsi" w:cstheme="majorHAnsi"/>
          <w:i/>
          <w:sz w:val="20"/>
        </w:rPr>
        <w:t>Concluding Observations of the Committee against Torture: Australia</w:t>
      </w:r>
      <w:r w:rsidRPr="00155F24">
        <w:rPr>
          <w:rFonts w:asciiTheme="majorHAnsi" w:hAnsiTheme="majorHAnsi" w:cstheme="majorHAnsi"/>
          <w:sz w:val="20"/>
        </w:rPr>
        <w:t>, 40</w:t>
      </w:r>
      <w:r w:rsidRPr="00155F24">
        <w:rPr>
          <w:rFonts w:asciiTheme="majorHAnsi" w:hAnsiTheme="majorHAnsi" w:cstheme="majorHAnsi"/>
          <w:sz w:val="20"/>
          <w:vertAlign w:val="superscript"/>
        </w:rPr>
        <w:t>th</w:t>
      </w:r>
      <w:r w:rsidRPr="00155F24">
        <w:rPr>
          <w:rFonts w:asciiTheme="majorHAnsi" w:hAnsiTheme="majorHAnsi" w:cstheme="majorHAnsi"/>
          <w:sz w:val="20"/>
        </w:rPr>
        <w:t xml:space="preserve"> </w:t>
      </w:r>
      <w:proofErr w:type="spellStart"/>
      <w:r w:rsidRPr="00155F24">
        <w:rPr>
          <w:rFonts w:asciiTheme="majorHAnsi" w:hAnsiTheme="majorHAnsi" w:cstheme="majorHAnsi"/>
          <w:sz w:val="20"/>
        </w:rPr>
        <w:t>sess</w:t>
      </w:r>
      <w:proofErr w:type="spellEnd"/>
      <w:r w:rsidRPr="00155F24">
        <w:rPr>
          <w:rFonts w:asciiTheme="majorHAnsi" w:hAnsiTheme="majorHAnsi" w:cstheme="majorHAnsi"/>
          <w:sz w:val="20"/>
        </w:rPr>
        <w:t xml:space="preserve">, UN Doc CAT/C/AUS/CO/3 (22 May 2008) </w:t>
      </w:r>
      <w:proofErr w:type="spellStart"/>
      <w:r w:rsidRPr="00155F24">
        <w:rPr>
          <w:rFonts w:asciiTheme="majorHAnsi" w:hAnsiTheme="majorHAnsi" w:cstheme="majorHAnsi"/>
          <w:sz w:val="20"/>
        </w:rPr>
        <w:t>para</w:t>
      </w:r>
      <w:proofErr w:type="spellEnd"/>
      <w:r w:rsidRPr="00155F24">
        <w:rPr>
          <w:rFonts w:asciiTheme="majorHAnsi" w:hAnsiTheme="majorHAnsi" w:cstheme="majorHAnsi"/>
          <w:sz w:val="20"/>
        </w:rPr>
        <w:t xml:space="preserve"> 11; </w:t>
      </w:r>
      <w:r w:rsidRPr="00155F24">
        <w:rPr>
          <w:rFonts w:asciiTheme="majorHAnsi" w:hAnsiTheme="majorHAnsi" w:cstheme="majorHAnsi"/>
          <w:sz w:val="20"/>
          <w:lang w:val="x-none"/>
        </w:rPr>
        <w:t>UN Doc CRC/C/</w:t>
      </w:r>
      <w:r w:rsidRPr="00155F24">
        <w:rPr>
          <w:rFonts w:asciiTheme="majorHAnsi" w:hAnsiTheme="majorHAnsi" w:cstheme="majorHAnsi"/>
          <w:sz w:val="20"/>
        </w:rPr>
        <w:t xml:space="preserve">AUS/CO/4 </w:t>
      </w:r>
      <w:proofErr w:type="spellStart"/>
      <w:r w:rsidRPr="00155F24">
        <w:rPr>
          <w:rFonts w:asciiTheme="majorHAnsi" w:hAnsiTheme="majorHAnsi" w:cstheme="majorHAnsi"/>
          <w:sz w:val="20"/>
        </w:rPr>
        <w:t>para</w:t>
      </w:r>
      <w:proofErr w:type="spellEnd"/>
      <w:r w:rsidRPr="00155F24">
        <w:rPr>
          <w:rFonts w:asciiTheme="majorHAnsi" w:hAnsiTheme="majorHAnsi" w:cstheme="majorHAnsi"/>
          <w:sz w:val="20"/>
        </w:rPr>
        <w:t xml:space="preserve"> 16</w:t>
      </w:r>
    </w:p>
  </w:footnote>
  <w:footnote w:id="36">
    <w:p w:rsidR="00DD224E" w:rsidRPr="00155F24" w:rsidRDefault="00DD224E" w:rsidP="001C1253">
      <w:pPr>
        <w:pStyle w:val="NoSpacing"/>
        <w:rPr>
          <w:rFonts w:asciiTheme="majorHAnsi" w:hAnsiTheme="majorHAnsi" w:cstheme="majorHAnsi"/>
          <w:sz w:val="20"/>
        </w:rPr>
      </w:pPr>
      <w:r w:rsidRPr="00155F24">
        <w:rPr>
          <w:rStyle w:val="FootnoteReference"/>
          <w:rFonts w:asciiTheme="majorHAnsi" w:hAnsiTheme="majorHAnsi" w:cstheme="majorHAnsi"/>
          <w:sz w:val="20"/>
        </w:rPr>
        <w:footnoteRef/>
      </w:r>
      <w:r w:rsidRPr="00155F24">
        <w:rPr>
          <w:rFonts w:asciiTheme="majorHAnsi" w:hAnsiTheme="majorHAnsi" w:cstheme="majorHAnsi"/>
          <w:sz w:val="20"/>
        </w:rPr>
        <w:t xml:space="preserve"> Committee against Torture, UN </w:t>
      </w:r>
      <w:proofErr w:type="spellStart"/>
      <w:r w:rsidRPr="00155F24">
        <w:rPr>
          <w:rFonts w:asciiTheme="majorHAnsi" w:hAnsiTheme="majorHAnsi" w:cstheme="majorHAnsi"/>
          <w:sz w:val="20"/>
        </w:rPr>
        <w:t>UN</w:t>
      </w:r>
      <w:proofErr w:type="spellEnd"/>
      <w:r w:rsidRPr="00155F24">
        <w:rPr>
          <w:rFonts w:asciiTheme="majorHAnsi" w:hAnsiTheme="majorHAnsi" w:cstheme="majorHAnsi"/>
          <w:sz w:val="20"/>
        </w:rPr>
        <w:t xml:space="preserve"> Doc CAT/C/AUS/CO/3 (22 May 2008) </w:t>
      </w:r>
      <w:proofErr w:type="spellStart"/>
      <w:r w:rsidRPr="00155F24">
        <w:rPr>
          <w:rFonts w:asciiTheme="majorHAnsi" w:hAnsiTheme="majorHAnsi" w:cstheme="majorHAnsi"/>
          <w:sz w:val="20"/>
        </w:rPr>
        <w:t>para</w:t>
      </w:r>
      <w:proofErr w:type="spellEnd"/>
      <w:r w:rsidRPr="00155F24">
        <w:rPr>
          <w:rFonts w:asciiTheme="majorHAnsi" w:hAnsiTheme="majorHAnsi" w:cstheme="majorHAnsi"/>
          <w:sz w:val="20"/>
        </w:rPr>
        <w:t xml:space="preserve"> 11; </w:t>
      </w:r>
      <w:r w:rsidRPr="00155F24">
        <w:rPr>
          <w:rFonts w:asciiTheme="majorHAnsi" w:hAnsiTheme="majorHAnsi" w:cstheme="majorHAnsi"/>
          <w:sz w:val="20"/>
          <w:lang w:val="x-none"/>
        </w:rPr>
        <w:t>UN Doc CRC/C/</w:t>
      </w:r>
      <w:r w:rsidRPr="00155F24">
        <w:rPr>
          <w:rFonts w:asciiTheme="majorHAnsi" w:hAnsiTheme="majorHAnsi" w:cstheme="majorHAnsi"/>
          <w:sz w:val="20"/>
        </w:rPr>
        <w:t xml:space="preserve">AUS/CO/4 </w:t>
      </w:r>
      <w:proofErr w:type="spellStart"/>
      <w:r w:rsidRPr="00155F24">
        <w:rPr>
          <w:rFonts w:asciiTheme="majorHAnsi" w:hAnsiTheme="majorHAnsi" w:cstheme="majorHAnsi"/>
          <w:sz w:val="20"/>
        </w:rPr>
        <w:t>para</w:t>
      </w:r>
      <w:proofErr w:type="spellEnd"/>
      <w:r w:rsidRPr="00155F24">
        <w:rPr>
          <w:rFonts w:asciiTheme="majorHAnsi" w:hAnsiTheme="majorHAnsi" w:cstheme="majorHAnsi"/>
          <w:sz w:val="20"/>
        </w:rPr>
        <w:t xml:space="preserve"> 11, </w:t>
      </w:r>
      <w:proofErr w:type="spellStart"/>
      <w:r w:rsidRPr="00155F24">
        <w:rPr>
          <w:rFonts w:asciiTheme="majorHAnsi" w:hAnsiTheme="majorHAnsi" w:cstheme="majorHAnsi"/>
          <w:sz w:val="20"/>
        </w:rPr>
        <w:t>para</w:t>
      </w:r>
      <w:proofErr w:type="spellEnd"/>
      <w:r w:rsidRPr="00155F24">
        <w:rPr>
          <w:rFonts w:asciiTheme="majorHAnsi" w:hAnsiTheme="majorHAnsi" w:cstheme="majorHAnsi"/>
          <w:sz w:val="20"/>
        </w:rPr>
        <w:t xml:space="preserve"> 16</w:t>
      </w:r>
    </w:p>
  </w:footnote>
  <w:footnote w:id="37">
    <w:p w:rsidR="00DD224E" w:rsidRPr="00155F24" w:rsidRDefault="00DD224E" w:rsidP="001C1253">
      <w:pPr>
        <w:pStyle w:val="NoSpacing"/>
        <w:rPr>
          <w:rFonts w:asciiTheme="majorHAnsi" w:hAnsiTheme="majorHAnsi" w:cstheme="majorHAnsi"/>
          <w:sz w:val="20"/>
        </w:rPr>
      </w:pPr>
      <w:r w:rsidRPr="00155F24">
        <w:rPr>
          <w:rStyle w:val="FootnoteReference"/>
          <w:rFonts w:asciiTheme="majorHAnsi" w:hAnsiTheme="majorHAnsi" w:cstheme="majorHAnsi"/>
          <w:sz w:val="20"/>
        </w:rPr>
        <w:footnoteRef/>
      </w:r>
      <w:r w:rsidRPr="00155F24">
        <w:rPr>
          <w:rFonts w:asciiTheme="majorHAnsi" w:hAnsiTheme="majorHAnsi" w:cstheme="majorHAnsi"/>
          <w:sz w:val="20"/>
        </w:rPr>
        <w:t xml:space="preserve"> National Ethnic Disability Alliance</w:t>
      </w:r>
      <w:r>
        <w:rPr>
          <w:rFonts w:asciiTheme="majorHAnsi" w:hAnsiTheme="majorHAnsi" w:cstheme="majorHAnsi"/>
          <w:sz w:val="20"/>
        </w:rPr>
        <w:t xml:space="preserve"> (NEDA), </w:t>
      </w:r>
      <w:r w:rsidRPr="00B42AB3">
        <w:rPr>
          <w:rFonts w:asciiTheme="majorHAnsi" w:hAnsiTheme="majorHAnsi" w:cstheme="majorHAnsi"/>
          <w:i/>
          <w:sz w:val="20"/>
        </w:rPr>
        <w:t xml:space="preserve">The Plight of People with Disabilities within Australian Immigration Detention: </w:t>
      </w:r>
      <w:proofErr w:type="spellStart"/>
      <w:r w:rsidRPr="00B42AB3">
        <w:rPr>
          <w:rFonts w:asciiTheme="majorHAnsi" w:hAnsiTheme="majorHAnsi" w:cstheme="majorHAnsi"/>
          <w:i/>
          <w:sz w:val="20"/>
        </w:rPr>
        <w:t>Demonised</w:t>
      </w:r>
      <w:proofErr w:type="spellEnd"/>
      <w:r w:rsidRPr="00B42AB3">
        <w:rPr>
          <w:rFonts w:asciiTheme="majorHAnsi" w:hAnsiTheme="majorHAnsi" w:cstheme="majorHAnsi"/>
          <w:i/>
          <w:sz w:val="20"/>
        </w:rPr>
        <w:t>, Detained and Disowned</w:t>
      </w:r>
      <w:r>
        <w:rPr>
          <w:rFonts w:asciiTheme="majorHAnsi" w:hAnsiTheme="majorHAnsi" w:cstheme="majorHAnsi"/>
          <w:sz w:val="20"/>
        </w:rPr>
        <w:t>, (March 2015), NEDA, Canberra, Australia</w:t>
      </w:r>
      <w:r w:rsidRPr="00155F24">
        <w:rPr>
          <w:rFonts w:asciiTheme="majorHAnsi" w:hAnsiTheme="majorHAnsi" w:cstheme="majorHAnsi"/>
          <w:sz w:val="20"/>
        </w:rPr>
        <w:t>.</w:t>
      </w:r>
    </w:p>
  </w:footnote>
  <w:footnote w:id="38">
    <w:p w:rsidR="00DD224E" w:rsidRPr="00155F24" w:rsidRDefault="00DD224E" w:rsidP="001C1253">
      <w:pPr>
        <w:pStyle w:val="NoSpacing"/>
        <w:rPr>
          <w:rFonts w:asciiTheme="majorHAnsi" w:hAnsiTheme="majorHAnsi" w:cstheme="majorHAnsi"/>
          <w:sz w:val="20"/>
        </w:rPr>
      </w:pPr>
      <w:r w:rsidRPr="00155F24">
        <w:rPr>
          <w:rStyle w:val="FootnoteReference"/>
          <w:rFonts w:asciiTheme="majorHAnsi" w:hAnsiTheme="majorHAnsi" w:cstheme="majorHAnsi"/>
          <w:sz w:val="20"/>
        </w:rPr>
        <w:footnoteRef/>
      </w:r>
      <w:r w:rsidRPr="00155F24">
        <w:rPr>
          <w:rFonts w:asciiTheme="majorHAnsi" w:hAnsiTheme="majorHAnsi" w:cstheme="majorHAnsi"/>
          <w:sz w:val="20"/>
        </w:rPr>
        <w:t xml:space="preserve"> Evidence given by </w:t>
      </w:r>
      <w:proofErr w:type="spellStart"/>
      <w:r w:rsidRPr="00155F24">
        <w:rPr>
          <w:rFonts w:asciiTheme="majorHAnsi" w:hAnsiTheme="majorHAnsi" w:cstheme="majorHAnsi"/>
          <w:sz w:val="20"/>
        </w:rPr>
        <w:t>Dr</w:t>
      </w:r>
      <w:proofErr w:type="spellEnd"/>
      <w:r w:rsidRPr="00155F24">
        <w:rPr>
          <w:rFonts w:asciiTheme="majorHAnsi" w:hAnsiTheme="majorHAnsi" w:cstheme="majorHAnsi"/>
          <w:sz w:val="20"/>
        </w:rPr>
        <w:t xml:space="preserve"> John-Paul </w:t>
      </w:r>
      <w:proofErr w:type="spellStart"/>
      <w:r w:rsidRPr="00155F24">
        <w:rPr>
          <w:rFonts w:asciiTheme="majorHAnsi" w:hAnsiTheme="majorHAnsi" w:cstheme="majorHAnsi"/>
          <w:sz w:val="20"/>
        </w:rPr>
        <w:t>Sanggaran</w:t>
      </w:r>
      <w:proofErr w:type="spellEnd"/>
      <w:r w:rsidRPr="00155F24">
        <w:rPr>
          <w:rFonts w:asciiTheme="majorHAnsi" w:hAnsiTheme="majorHAnsi" w:cstheme="majorHAnsi"/>
          <w:sz w:val="20"/>
        </w:rPr>
        <w:t xml:space="preserve"> </w:t>
      </w:r>
      <w:r w:rsidRPr="00155F24">
        <w:rPr>
          <w:rFonts w:asciiTheme="majorHAnsi" w:hAnsiTheme="majorHAnsi" w:cstheme="majorHAnsi"/>
          <w:sz w:val="20"/>
          <w:shd w:val="clear" w:color="auto" w:fill="FFFFFF"/>
        </w:rPr>
        <w:t xml:space="preserve">Australian Human Rights Commission, </w:t>
      </w:r>
      <w:r w:rsidRPr="00155F24">
        <w:rPr>
          <w:rFonts w:asciiTheme="majorHAnsi" w:hAnsiTheme="majorHAnsi" w:cstheme="majorHAnsi"/>
          <w:i/>
          <w:sz w:val="20"/>
          <w:shd w:val="clear" w:color="auto" w:fill="FFFFFF"/>
        </w:rPr>
        <w:t>National Inquiry into Children in Immigration Detention 2014</w:t>
      </w:r>
      <w:r w:rsidRPr="00155F24">
        <w:rPr>
          <w:rFonts w:asciiTheme="majorHAnsi" w:hAnsiTheme="majorHAnsi" w:cstheme="majorHAnsi"/>
          <w:sz w:val="20"/>
          <w:shd w:val="clear" w:color="auto" w:fill="FFFFFF"/>
        </w:rPr>
        <w:t xml:space="preserve"> (Public Hearing, Sydney, 31 July 2014).</w:t>
      </w:r>
    </w:p>
  </w:footnote>
  <w:footnote w:id="39">
    <w:p w:rsidR="00DD224E" w:rsidRPr="00155F24" w:rsidRDefault="00DD224E" w:rsidP="001C1253">
      <w:pPr>
        <w:pStyle w:val="NoSpacing"/>
        <w:rPr>
          <w:rFonts w:asciiTheme="majorHAnsi" w:hAnsiTheme="majorHAnsi" w:cstheme="majorHAnsi"/>
          <w:sz w:val="20"/>
        </w:rPr>
      </w:pPr>
      <w:r w:rsidRPr="00155F24">
        <w:rPr>
          <w:rStyle w:val="FootnoteReference"/>
          <w:rFonts w:asciiTheme="majorHAnsi" w:hAnsiTheme="majorHAnsi" w:cstheme="majorHAnsi"/>
          <w:color w:val="auto"/>
          <w:sz w:val="20"/>
        </w:rPr>
        <w:footnoteRef/>
      </w:r>
      <w:r w:rsidRPr="00155F24">
        <w:rPr>
          <w:rFonts w:asciiTheme="majorHAnsi" w:hAnsiTheme="majorHAnsi" w:cstheme="majorHAnsi"/>
          <w:sz w:val="20"/>
        </w:rPr>
        <w:t xml:space="preserve"> Human Rights Law Resource Centre, Submission to the Joint Standing Committee on Migration Review of Immigration Detention, </w:t>
      </w:r>
      <w:r w:rsidRPr="00155F24">
        <w:rPr>
          <w:rFonts w:asciiTheme="majorHAnsi" w:hAnsiTheme="majorHAnsi" w:cstheme="majorHAnsi"/>
          <w:i/>
          <w:sz w:val="20"/>
        </w:rPr>
        <w:t>Inquiry into Immigration Detention in Australia</w:t>
      </w:r>
      <w:r w:rsidRPr="00155F24">
        <w:rPr>
          <w:rFonts w:asciiTheme="majorHAnsi" w:hAnsiTheme="majorHAnsi" w:cstheme="majorHAnsi"/>
          <w:sz w:val="20"/>
        </w:rPr>
        <w:t xml:space="preserve">, August 2008, 20, </w:t>
      </w:r>
      <w:hyperlink r:id="rId12" w:history="1">
        <w:r w:rsidRPr="00155F24">
          <w:rPr>
            <w:rStyle w:val="Hyperlink"/>
            <w:rFonts w:asciiTheme="majorHAnsi" w:hAnsiTheme="majorHAnsi" w:cstheme="majorHAnsi"/>
            <w:sz w:val="20"/>
          </w:rPr>
          <w:t>www.hrlrc.org.au/content/topics/refugees-and-asylum-seekers/refugee-rights-submission-inquiry-immigration-detention/</w:t>
        </w:r>
      </w:hyperlink>
    </w:p>
  </w:footnote>
  <w:footnote w:id="40">
    <w:p w:rsidR="00DD224E" w:rsidRPr="00155F24" w:rsidRDefault="00DD224E" w:rsidP="001C1253">
      <w:pPr>
        <w:pStyle w:val="NoSpacing"/>
        <w:rPr>
          <w:rFonts w:asciiTheme="majorHAnsi" w:hAnsiTheme="majorHAnsi" w:cstheme="majorHAnsi"/>
          <w:sz w:val="20"/>
        </w:rPr>
      </w:pPr>
      <w:r w:rsidRPr="00155F24">
        <w:rPr>
          <w:rStyle w:val="FootnoteReference"/>
          <w:rFonts w:asciiTheme="majorHAnsi" w:hAnsiTheme="majorHAnsi" w:cstheme="majorHAnsi"/>
          <w:sz w:val="20"/>
        </w:rPr>
        <w:footnoteRef/>
      </w:r>
      <w:r w:rsidRPr="00155F24">
        <w:rPr>
          <w:rFonts w:asciiTheme="majorHAnsi" w:hAnsiTheme="majorHAnsi" w:cstheme="majorHAnsi"/>
          <w:sz w:val="20"/>
        </w:rPr>
        <w:t xml:space="preserve"> Suresh Rajan, ‘Fairness does not mean everyone gets the same. Fairness means everyone gets what they need’ (21 May 2015) </w:t>
      </w:r>
      <w:r w:rsidRPr="00155F24">
        <w:rPr>
          <w:rFonts w:asciiTheme="majorHAnsi" w:hAnsiTheme="majorHAnsi" w:cstheme="majorHAnsi"/>
          <w:i/>
          <w:sz w:val="20"/>
        </w:rPr>
        <w:t>The Stringer</w:t>
      </w:r>
      <w:r w:rsidRPr="00155F24">
        <w:rPr>
          <w:rFonts w:asciiTheme="majorHAnsi" w:hAnsiTheme="majorHAnsi" w:cstheme="majorHAnsi"/>
          <w:sz w:val="20"/>
        </w:rPr>
        <w:t>, Saturday 22</w:t>
      </w:r>
      <w:r w:rsidRPr="00155F24">
        <w:rPr>
          <w:rFonts w:asciiTheme="majorHAnsi" w:hAnsiTheme="majorHAnsi" w:cstheme="majorHAnsi"/>
          <w:sz w:val="20"/>
          <w:vertAlign w:val="superscript"/>
        </w:rPr>
        <w:t>nd</w:t>
      </w:r>
      <w:r w:rsidRPr="00155F24">
        <w:rPr>
          <w:rFonts w:asciiTheme="majorHAnsi" w:hAnsiTheme="majorHAnsi" w:cstheme="majorHAnsi"/>
          <w:sz w:val="20"/>
        </w:rPr>
        <w:t xml:space="preserve"> of August 2015, </w:t>
      </w:r>
      <w:hyperlink r:id="rId13" w:history="1">
        <w:r w:rsidRPr="00155F24">
          <w:rPr>
            <w:rStyle w:val="Hyperlink"/>
            <w:rFonts w:asciiTheme="majorHAnsi" w:hAnsiTheme="majorHAnsi" w:cstheme="majorHAnsi"/>
            <w:sz w:val="20"/>
          </w:rPr>
          <w:t>http://thestringer.com.au/fairness-does-not-mean-everyone-gets-the-same-fairness-means-everyone-gets-what-they-need-rick-riordan-10311</w:t>
        </w:r>
      </w:hyperlink>
      <w:r w:rsidRPr="00155F24">
        <w:rPr>
          <w:rFonts w:asciiTheme="majorHAnsi" w:hAnsiTheme="majorHAnsi" w:cstheme="majorHAnsi"/>
          <w:sz w:val="20"/>
        </w:rPr>
        <w:t xml:space="preserve"> </w:t>
      </w:r>
    </w:p>
  </w:footnote>
  <w:footnote w:id="41">
    <w:p w:rsidR="00DD224E" w:rsidRPr="00C673EA" w:rsidRDefault="00DD224E" w:rsidP="00C673EA">
      <w:pPr>
        <w:pStyle w:val="NoSpacing"/>
        <w:jc w:val="left"/>
        <w:rPr>
          <w:rFonts w:asciiTheme="majorHAnsi" w:hAnsiTheme="majorHAnsi" w:cstheme="majorHAnsi"/>
          <w:sz w:val="20"/>
        </w:rPr>
      </w:pPr>
      <w:r w:rsidRPr="00C673EA">
        <w:rPr>
          <w:rStyle w:val="FootnoteReference"/>
          <w:rFonts w:asciiTheme="majorHAnsi" w:hAnsiTheme="majorHAnsi" w:cstheme="majorHAnsi"/>
          <w:sz w:val="20"/>
        </w:rPr>
        <w:footnoteRef/>
      </w:r>
      <w:r w:rsidRPr="00C673EA">
        <w:rPr>
          <w:rFonts w:asciiTheme="majorHAnsi" w:hAnsiTheme="majorHAnsi" w:cstheme="majorHAnsi"/>
          <w:sz w:val="20"/>
        </w:rPr>
        <w:t xml:space="preserve"> </w:t>
      </w:r>
      <w:r w:rsidRPr="00C673EA">
        <w:rPr>
          <w:rFonts w:asciiTheme="majorHAnsi" w:hAnsiTheme="majorHAnsi" w:cstheme="majorHAnsi"/>
          <w:i/>
          <w:sz w:val="20"/>
        </w:rPr>
        <w:t>Christmas Island Medical Officer’s Letter of Concerns</w:t>
      </w:r>
      <w:r>
        <w:rPr>
          <w:rFonts w:asciiTheme="majorHAnsi" w:hAnsiTheme="majorHAnsi" w:cstheme="majorHAnsi"/>
          <w:sz w:val="20"/>
        </w:rPr>
        <w:t xml:space="preserve"> (November 2013), </w:t>
      </w:r>
      <w:hyperlink r:id="rId14" w:history="1">
        <w:r w:rsidRPr="00C673EA">
          <w:rPr>
            <w:rStyle w:val="Hyperlink"/>
            <w:rFonts w:asciiTheme="majorHAnsi" w:hAnsiTheme="majorHAnsi" w:cstheme="majorHAnsi"/>
            <w:sz w:val="20"/>
          </w:rPr>
          <w:t>www.theguardian.com/world/interactive/2014/jan/13/christmas-island-doctors-letter-of-concern-in-full</w:t>
        </w:r>
      </w:hyperlink>
      <w:r w:rsidRPr="00C673EA">
        <w:rPr>
          <w:rFonts w:asciiTheme="majorHAnsi" w:hAnsiTheme="majorHAnsi" w:cstheme="majorHAnsi"/>
          <w:sz w:val="20"/>
        </w:rPr>
        <w:t xml:space="preserve"> </w:t>
      </w:r>
    </w:p>
  </w:footnote>
  <w:footnote w:id="42">
    <w:p w:rsidR="00DD224E" w:rsidRPr="00C673EA" w:rsidRDefault="00DD224E" w:rsidP="001C1253">
      <w:pPr>
        <w:pStyle w:val="NoSpacing"/>
        <w:rPr>
          <w:rFonts w:asciiTheme="majorHAnsi" w:hAnsiTheme="majorHAnsi" w:cstheme="majorHAnsi"/>
          <w:sz w:val="20"/>
        </w:rPr>
      </w:pPr>
      <w:r w:rsidRPr="00C673EA">
        <w:rPr>
          <w:rStyle w:val="FootnoteReference"/>
          <w:rFonts w:asciiTheme="majorHAnsi" w:hAnsiTheme="majorHAnsi" w:cstheme="majorHAnsi"/>
          <w:sz w:val="20"/>
        </w:rPr>
        <w:footnoteRef/>
      </w:r>
      <w:r w:rsidRPr="00C673EA">
        <w:rPr>
          <w:rFonts w:asciiTheme="majorHAnsi" w:hAnsiTheme="majorHAnsi" w:cstheme="majorHAnsi"/>
          <w:sz w:val="20"/>
        </w:rPr>
        <w:t xml:space="preserve"> </w:t>
      </w:r>
      <w:r>
        <w:rPr>
          <w:rFonts w:asciiTheme="majorHAnsi" w:hAnsiTheme="majorHAnsi" w:cstheme="majorHAnsi"/>
          <w:sz w:val="20"/>
        </w:rPr>
        <w:t>This section is e</w:t>
      </w:r>
      <w:r w:rsidRPr="00F3765A">
        <w:rPr>
          <w:rFonts w:asciiTheme="majorHAnsi" w:hAnsiTheme="majorHAnsi" w:cstheme="majorHAnsi"/>
          <w:sz w:val="20"/>
        </w:rPr>
        <w:t xml:space="preserve">xtracted from </w:t>
      </w:r>
      <w:r>
        <w:rPr>
          <w:rFonts w:asciiTheme="majorHAnsi" w:hAnsiTheme="majorHAnsi" w:cstheme="majorHAnsi"/>
          <w:sz w:val="20"/>
        </w:rPr>
        <w:t xml:space="preserve">Frohmader, C., &amp; Sands, T., (2015) </w:t>
      </w:r>
      <w:r w:rsidRPr="007C278B">
        <w:rPr>
          <w:rFonts w:asciiTheme="majorHAnsi" w:hAnsiTheme="majorHAnsi" w:cstheme="majorHAnsi"/>
          <w:i/>
          <w:sz w:val="20"/>
        </w:rPr>
        <w:t xml:space="preserve">Australian Cross Disability Alliance (ACDA) Submission to the Senate Inquiry into Violence, abuse and neglect against people with disability </w:t>
      </w:r>
      <w:r>
        <w:rPr>
          <w:rFonts w:asciiTheme="majorHAnsi" w:hAnsiTheme="majorHAnsi" w:cstheme="majorHAnsi"/>
          <w:i/>
          <w:sz w:val="20"/>
        </w:rPr>
        <w:t xml:space="preserve">in </w:t>
      </w:r>
      <w:r w:rsidRPr="007C278B">
        <w:rPr>
          <w:rFonts w:asciiTheme="majorHAnsi" w:hAnsiTheme="majorHAnsi" w:cstheme="majorHAnsi"/>
          <w:i/>
          <w:sz w:val="20"/>
        </w:rPr>
        <w:t>institutional and residential settings</w:t>
      </w:r>
      <w:r>
        <w:rPr>
          <w:rFonts w:asciiTheme="majorHAnsi" w:hAnsiTheme="majorHAnsi" w:cstheme="majorHAnsi"/>
          <w:sz w:val="20"/>
        </w:rPr>
        <w:t xml:space="preserve">, </w:t>
      </w:r>
      <w:r w:rsidRPr="007C278B">
        <w:rPr>
          <w:rFonts w:asciiTheme="majorHAnsi" w:hAnsiTheme="majorHAnsi" w:cstheme="majorHAnsi"/>
          <w:sz w:val="20"/>
        </w:rPr>
        <w:t>ACDA</w:t>
      </w:r>
      <w:r>
        <w:rPr>
          <w:rFonts w:asciiTheme="majorHAnsi" w:hAnsiTheme="majorHAnsi" w:cstheme="majorHAnsi"/>
          <w:sz w:val="20"/>
        </w:rPr>
        <w:t>, Sydney, Australia</w:t>
      </w:r>
      <w:r w:rsidRPr="00C673EA">
        <w:rPr>
          <w:rFonts w:asciiTheme="majorHAnsi" w:hAnsiTheme="majorHAnsi" w:cstheme="majorHAnsi"/>
          <w:sz w:val="20"/>
        </w:rPr>
        <w:t>, p.45-46</w:t>
      </w:r>
    </w:p>
  </w:footnote>
  <w:footnote w:id="43">
    <w:p w:rsidR="00DD224E" w:rsidRPr="00C673EA" w:rsidRDefault="00DD224E" w:rsidP="001C1253">
      <w:pPr>
        <w:pStyle w:val="NoSpacing"/>
        <w:rPr>
          <w:rFonts w:asciiTheme="majorHAnsi" w:hAnsiTheme="majorHAnsi" w:cstheme="majorHAnsi"/>
          <w:sz w:val="20"/>
        </w:rPr>
      </w:pPr>
      <w:r w:rsidRPr="00C673EA">
        <w:rPr>
          <w:rStyle w:val="FootnoteReference"/>
          <w:rFonts w:asciiTheme="majorHAnsi" w:hAnsiTheme="majorHAnsi" w:cstheme="majorHAnsi"/>
          <w:sz w:val="20"/>
        </w:rPr>
        <w:footnoteRef/>
      </w:r>
      <w:r w:rsidRPr="00C673EA">
        <w:rPr>
          <w:rFonts w:asciiTheme="majorHAnsi" w:hAnsiTheme="majorHAnsi" w:cstheme="majorHAnsi"/>
          <w:sz w:val="20"/>
        </w:rPr>
        <w:t xml:space="preserve"> CRPD Civil Society Parallel Report Project Group, </w:t>
      </w:r>
      <w:r w:rsidRPr="00C673EA">
        <w:rPr>
          <w:rFonts w:asciiTheme="majorHAnsi" w:hAnsiTheme="majorHAnsi" w:cstheme="majorHAnsi"/>
          <w:i/>
          <w:sz w:val="20"/>
        </w:rPr>
        <w:t>Disability Rights Now</w:t>
      </w:r>
      <w:r w:rsidRPr="00C673EA">
        <w:rPr>
          <w:rFonts w:asciiTheme="majorHAnsi" w:hAnsiTheme="majorHAnsi" w:cstheme="majorHAnsi"/>
          <w:sz w:val="20"/>
        </w:rPr>
        <w:t xml:space="preserve"> (August 2012) p.91.</w:t>
      </w:r>
    </w:p>
  </w:footnote>
  <w:footnote w:id="44">
    <w:p w:rsidR="00DD224E" w:rsidRPr="00C673EA" w:rsidRDefault="00DD224E" w:rsidP="001C1253">
      <w:pPr>
        <w:pStyle w:val="NoSpacing"/>
        <w:rPr>
          <w:rFonts w:asciiTheme="majorHAnsi" w:hAnsiTheme="majorHAnsi" w:cstheme="majorHAnsi"/>
          <w:sz w:val="20"/>
        </w:rPr>
      </w:pPr>
      <w:r w:rsidRPr="00C673EA">
        <w:rPr>
          <w:rStyle w:val="FootnoteReference"/>
          <w:rFonts w:asciiTheme="majorHAnsi" w:hAnsiTheme="majorHAnsi" w:cstheme="majorHAnsi"/>
          <w:sz w:val="20"/>
        </w:rPr>
        <w:footnoteRef/>
      </w:r>
      <w:r w:rsidRPr="00C673EA">
        <w:rPr>
          <w:rFonts w:asciiTheme="majorHAnsi" w:hAnsiTheme="majorHAnsi" w:cstheme="majorHAnsi"/>
          <w:sz w:val="20"/>
        </w:rPr>
        <w:t xml:space="preserve"> People With Disability Australia and NSW Mental Health Coordinating Council, Submission to the NSW Legislative Council: ‘Substitute Decision-Making: Time for Reform’,</w:t>
      </w:r>
      <w:r w:rsidRPr="00C673EA">
        <w:rPr>
          <w:rFonts w:asciiTheme="majorHAnsi" w:hAnsiTheme="majorHAnsi" w:cstheme="majorHAnsi"/>
          <w:i/>
          <w:sz w:val="20"/>
        </w:rPr>
        <w:t xml:space="preserve"> Inquiry into Substitute Decision-Making for People Lacking Capacity</w:t>
      </w:r>
      <w:r w:rsidRPr="00C673EA">
        <w:rPr>
          <w:rFonts w:asciiTheme="majorHAnsi" w:hAnsiTheme="majorHAnsi" w:cstheme="majorHAnsi"/>
          <w:sz w:val="20"/>
        </w:rPr>
        <w:t>, 2009, 27.</w:t>
      </w:r>
    </w:p>
  </w:footnote>
  <w:footnote w:id="45">
    <w:p w:rsidR="00DD224E" w:rsidRPr="00C673EA" w:rsidRDefault="00DD224E" w:rsidP="001C1253">
      <w:pPr>
        <w:pStyle w:val="NoSpacing"/>
        <w:rPr>
          <w:rFonts w:asciiTheme="majorHAnsi" w:hAnsiTheme="majorHAnsi" w:cstheme="majorHAnsi"/>
          <w:sz w:val="20"/>
        </w:rPr>
      </w:pPr>
      <w:r w:rsidRPr="00C673EA">
        <w:rPr>
          <w:rStyle w:val="FootnoteReference"/>
          <w:rFonts w:asciiTheme="majorHAnsi" w:hAnsiTheme="majorHAnsi" w:cstheme="majorHAnsi"/>
          <w:sz w:val="20"/>
        </w:rPr>
        <w:footnoteRef/>
      </w:r>
      <w:r w:rsidRPr="00C673EA">
        <w:rPr>
          <w:rFonts w:asciiTheme="majorHAnsi" w:hAnsiTheme="majorHAnsi" w:cstheme="majorHAnsi"/>
          <w:sz w:val="20"/>
        </w:rPr>
        <w:t xml:space="preserve"> National Mental Health Consumer and </w:t>
      </w:r>
      <w:proofErr w:type="spellStart"/>
      <w:r w:rsidRPr="00C673EA">
        <w:rPr>
          <w:rFonts w:asciiTheme="majorHAnsi" w:hAnsiTheme="majorHAnsi" w:cstheme="majorHAnsi"/>
          <w:sz w:val="20"/>
        </w:rPr>
        <w:t>Carer</w:t>
      </w:r>
      <w:proofErr w:type="spellEnd"/>
      <w:r w:rsidRPr="00C673EA">
        <w:rPr>
          <w:rFonts w:asciiTheme="majorHAnsi" w:hAnsiTheme="majorHAnsi" w:cstheme="majorHAnsi"/>
          <w:sz w:val="20"/>
        </w:rPr>
        <w:t xml:space="preserve"> Forum, </w:t>
      </w:r>
      <w:r w:rsidRPr="00C673EA">
        <w:rPr>
          <w:rFonts w:asciiTheme="majorHAnsi" w:hAnsiTheme="majorHAnsi" w:cstheme="majorHAnsi"/>
          <w:i/>
          <w:sz w:val="20"/>
        </w:rPr>
        <w:t>‘Ending Seclusion and Restraint in Australian Mental Health Services’</w:t>
      </w:r>
      <w:r w:rsidRPr="00C673EA">
        <w:rPr>
          <w:rFonts w:asciiTheme="majorHAnsi" w:hAnsiTheme="majorHAnsi" w:cstheme="majorHAnsi"/>
          <w:sz w:val="20"/>
        </w:rPr>
        <w:t xml:space="preserve"> (Position Statement, 2009); National Mental Health Commission, </w:t>
      </w:r>
      <w:r w:rsidRPr="00C673EA">
        <w:rPr>
          <w:rFonts w:asciiTheme="majorHAnsi" w:hAnsiTheme="majorHAnsi" w:cstheme="majorHAnsi"/>
          <w:i/>
          <w:sz w:val="20"/>
        </w:rPr>
        <w:t>‘Position on seclusion and restraint in mental health’</w:t>
      </w:r>
      <w:r w:rsidRPr="00C673EA">
        <w:rPr>
          <w:rFonts w:asciiTheme="majorHAnsi" w:hAnsiTheme="majorHAnsi" w:cstheme="majorHAnsi"/>
          <w:sz w:val="20"/>
        </w:rPr>
        <w:t xml:space="preserve"> (29 May 2015), </w:t>
      </w:r>
      <w:hyperlink r:id="rId15" w:history="1">
        <w:r w:rsidRPr="00C673EA">
          <w:rPr>
            <w:rStyle w:val="Hyperlink"/>
            <w:rFonts w:asciiTheme="majorHAnsi" w:hAnsiTheme="majorHAnsi" w:cstheme="majorHAnsi"/>
            <w:sz w:val="20"/>
          </w:rPr>
          <w:t>http://www.mentalhealthcommission.gov.au/our-work/national-seclusion-and-restraint-project/our-position-paper-a-case-for-change.aspx</w:t>
        </w:r>
      </w:hyperlink>
      <w:r w:rsidRPr="00C673EA">
        <w:rPr>
          <w:rFonts w:asciiTheme="majorHAnsi" w:hAnsiTheme="majorHAnsi" w:cstheme="majorHAnsi"/>
          <w:sz w:val="20"/>
        </w:rPr>
        <w:t xml:space="preserve"> </w:t>
      </w:r>
    </w:p>
  </w:footnote>
  <w:footnote w:id="46">
    <w:p w:rsidR="00DD224E" w:rsidRPr="00C673EA" w:rsidRDefault="00DD224E" w:rsidP="001C1253">
      <w:pPr>
        <w:pStyle w:val="NoSpacing"/>
        <w:rPr>
          <w:rFonts w:asciiTheme="majorHAnsi" w:hAnsiTheme="majorHAnsi" w:cstheme="majorHAnsi"/>
          <w:sz w:val="20"/>
        </w:rPr>
      </w:pPr>
      <w:r w:rsidRPr="00C673EA">
        <w:rPr>
          <w:rStyle w:val="FootnoteReference"/>
          <w:rFonts w:asciiTheme="majorHAnsi" w:hAnsiTheme="majorHAnsi" w:cstheme="majorHAnsi"/>
          <w:sz w:val="20"/>
        </w:rPr>
        <w:footnoteRef/>
      </w:r>
      <w:r w:rsidRPr="00C673EA">
        <w:rPr>
          <w:rFonts w:asciiTheme="majorHAnsi" w:hAnsiTheme="majorHAnsi" w:cstheme="majorHAnsi"/>
          <w:sz w:val="20"/>
        </w:rPr>
        <w:t xml:space="preserve"> See People with Disability Australia (2014), </w:t>
      </w:r>
      <w:r w:rsidRPr="00C673EA">
        <w:rPr>
          <w:rFonts w:asciiTheme="majorHAnsi" w:hAnsiTheme="majorHAnsi" w:cstheme="majorHAnsi"/>
          <w:i/>
          <w:sz w:val="20"/>
        </w:rPr>
        <w:t>Consideration of the 4th and 5th Reports of Australia by the Committee to the Convention Against Torture</w:t>
      </w:r>
      <w:r w:rsidRPr="00C673EA">
        <w:rPr>
          <w:rFonts w:asciiTheme="majorHAnsi" w:hAnsiTheme="majorHAnsi" w:cstheme="majorHAnsi"/>
          <w:sz w:val="20"/>
        </w:rPr>
        <w:t xml:space="preserve"> at </w:t>
      </w:r>
      <w:hyperlink r:id="rId16" w:history="1">
        <w:r w:rsidRPr="00C673EA">
          <w:rPr>
            <w:rStyle w:val="Hyperlink"/>
            <w:rFonts w:asciiTheme="majorHAnsi" w:hAnsiTheme="majorHAnsi" w:cstheme="majorHAnsi"/>
            <w:sz w:val="20"/>
          </w:rPr>
          <w:t>http://www.pwd.org.au/documents/pubs/SB14-UNCAT.doc</w:t>
        </w:r>
      </w:hyperlink>
    </w:p>
  </w:footnote>
  <w:footnote w:id="47">
    <w:p w:rsidR="00DD224E" w:rsidRPr="007B0293" w:rsidRDefault="00DD224E" w:rsidP="001C1253">
      <w:pPr>
        <w:pStyle w:val="NoSpacing"/>
        <w:rPr>
          <w:rFonts w:asciiTheme="majorHAnsi" w:hAnsiTheme="majorHAnsi" w:cstheme="majorHAnsi"/>
          <w:sz w:val="20"/>
        </w:rPr>
      </w:pPr>
      <w:r w:rsidRPr="007B0293">
        <w:rPr>
          <w:rStyle w:val="FootnoteReference"/>
          <w:rFonts w:asciiTheme="majorHAnsi" w:hAnsiTheme="majorHAnsi" w:cstheme="majorHAnsi"/>
          <w:sz w:val="20"/>
        </w:rPr>
        <w:footnoteRef/>
      </w:r>
      <w:r w:rsidRPr="007B0293">
        <w:rPr>
          <w:rFonts w:asciiTheme="majorHAnsi" w:hAnsiTheme="majorHAnsi" w:cstheme="majorHAnsi"/>
          <w:sz w:val="20"/>
        </w:rPr>
        <w:t xml:space="preserve"> Manfred Nowak, Special Rapporteur,</w:t>
      </w:r>
      <w:r w:rsidRPr="007B0293">
        <w:rPr>
          <w:rFonts w:asciiTheme="majorHAnsi" w:hAnsiTheme="majorHAnsi" w:cstheme="majorHAnsi"/>
          <w:i/>
          <w:sz w:val="20"/>
        </w:rPr>
        <w:t xml:space="preserve"> Interim Report of the Special Rapporteur on Torture and Other Cruel, Inhuman or Degrading Treatment or Punishment</w:t>
      </w:r>
      <w:r w:rsidRPr="007B0293">
        <w:rPr>
          <w:rFonts w:asciiTheme="majorHAnsi" w:hAnsiTheme="majorHAnsi" w:cstheme="majorHAnsi"/>
          <w:sz w:val="20"/>
        </w:rPr>
        <w:t>, 63</w:t>
      </w:r>
      <w:r w:rsidRPr="007B0293">
        <w:rPr>
          <w:rFonts w:asciiTheme="majorHAnsi" w:hAnsiTheme="majorHAnsi" w:cstheme="majorHAnsi"/>
          <w:sz w:val="20"/>
          <w:vertAlign w:val="superscript"/>
        </w:rPr>
        <w:t>rd</w:t>
      </w:r>
      <w:r w:rsidRPr="007B0293">
        <w:rPr>
          <w:rFonts w:asciiTheme="majorHAnsi" w:hAnsiTheme="majorHAnsi" w:cstheme="majorHAnsi"/>
          <w:sz w:val="20"/>
        </w:rPr>
        <w:t xml:space="preserve"> </w:t>
      </w:r>
      <w:proofErr w:type="spellStart"/>
      <w:r w:rsidRPr="007B0293">
        <w:rPr>
          <w:rFonts w:asciiTheme="majorHAnsi" w:hAnsiTheme="majorHAnsi" w:cstheme="majorHAnsi"/>
          <w:sz w:val="20"/>
        </w:rPr>
        <w:t>sess</w:t>
      </w:r>
      <w:proofErr w:type="spellEnd"/>
      <w:r w:rsidRPr="007B0293">
        <w:rPr>
          <w:rFonts w:asciiTheme="majorHAnsi" w:hAnsiTheme="majorHAnsi" w:cstheme="majorHAnsi"/>
          <w:sz w:val="20"/>
        </w:rPr>
        <w:t xml:space="preserve">, UN Doc A/63/175 (28 July 2008) </w:t>
      </w:r>
      <w:proofErr w:type="spellStart"/>
      <w:r w:rsidRPr="007B0293">
        <w:rPr>
          <w:rFonts w:asciiTheme="majorHAnsi" w:hAnsiTheme="majorHAnsi" w:cstheme="majorHAnsi"/>
          <w:sz w:val="20"/>
        </w:rPr>
        <w:t>para</w:t>
      </w:r>
      <w:proofErr w:type="spellEnd"/>
      <w:r w:rsidRPr="007B0293">
        <w:rPr>
          <w:rFonts w:asciiTheme="majorHAnsi" w:hAnsiTheme="majorHAnsi" w:cstheme="majorHAnsi"/>
          <w:sz w:val="20"/>
        </w:rPr>
        <w:t xml:space="preserve"> 58</w:t>
      </w:r>
    </w:p>
  </w:footnote>
  <w:footnote w:id="48">
    <w:p w:rsidR="00DD224E" w:rsidRPr="007B0293" w:rsidRDefault="00DD224E" w:rsidP="001C1253">
      <w:pPr>
        <w:pStyle w:val="NoSpacing"/>
        <w:rPr>
          <w:rFonts w:asciiTheme="majorHAnsi" w:hAnsiTheme="majorHAnsi" w:cstheme="majorHAnsi"/>
          <w:sz w:val="20"/>
        </w:rPr>
      </w:pPr>
      <w:r w:rsidRPr="007B0293">
        <w:rPr>
          <w:rStyle w:val="FootnoteReference"/>
          <w:rFonts w:asciiTheme="majorHAnsi" w:hAnsiTheme="majorHAnsi" w:cstheme="majorHAnsi"/>
          <w:sz w:val="20"/>
        </w:rPr>
        <w:footnoteRef/>
      </w:r>
      <w:r w:rsidRPr="007B0293">
        <w:rPr>
          <w:rFonts w:asciiTheme="majorHAnsi" w:hAnsiTheme="majorHAnsi" w:cstheme="majorHAnsi"/>
          <w:sz w:val="20"/>
        </w:rPr>
        <w:t xml:space="preserve"> </w:t>
      </w:r>
      <w:proofErr w:type="spellStart"/>
      <w:r w:rsidRPr="007B0293">
        <w:rPr>
          <w:rFonts w:asciiTheme="majorHAnsi" w:hAnsiTheme="majorHAnsi" w:cstheme="majorHAnsi"/>
          <w:sz w:val="20"/>
        </w:rPr>
        <w:t>Ramcharan</w:t>
      </w:r>
      <w:proofErr w:type="spellEnd"/>
      <w:r w:rsidRPr="007B0293">
        <w:rPr>
          <w:rFonts w:asciiTheme="majorHAnsi" w:hAnsiTheme="majorHAnsi" w:cstheme="majorHAnsi"/>
          <w:sz w:val="20"/>
        </w:rPr>
        <w:t xml:space="preserve">, P., Nankervis, K., Strong, M., and Robertson, A. (2009) </w:t>
      </w:r>
      <w:r w:rsidRPr="007B0293">
        <w:rPr>
          <w:rFonts w:asciiTheme="majorHAnsi" w:hAnsiTheme="majorHAnsi" w:cstheme="majorHAnsi"/>
          <w:i/>
          <w:sz w:val="20"/>
        </w:rPr>
        <w:t xml:space="preserve">‘Experiences of Restrictive Practices: A view from people with disabilities and family </w:t>
      </w:r>
      <w:proofErr w:type="spellStart"/>
      <w:r w:rsidRPr="007B0293">
        <w:rPr>
          <w:rFonts w:asciiTheme="majorHAnsi" w:hAnsiTheme="majorHAnsi" w:cstheme="majorHAnsi"/>
          <w:i/>
          <w:sz w:val="20"/>
        </w:rPr>
        <w:t>carers</w:t>
      </w:r>
      <w:proofErr w:type="spellEnd"/>
      <w:r w:rsidRPr="007B0293">
        <w:rPr>
          <w:rFonts w:asciiTheme="majorHAnsi" w:hAnsiTheme="majorHAnsi" w:cstheme="majorHAnsi"/>
          <w:i/>
          <w:sz w:val="20"/>
        </w:rPr>
        <w:t>: A final research report to the Office of the Senior Practitioner’</w:t>
      </w:r>
      <w:r w:rsidRPr="007B0293">
        <w:rPr>
          <w:rFonts w:asciiTheme="majorHAnsi" w:hAnsiTheme="majorHAnsi" w:cstheme="majorHAnsi"/>
          <w:sz w:val="20"/>
        </w:rPr>
        <w:t xml:space="preserve"> Office of the Senior Practitioner, Victoria, pp. 1-3.</w:t>
      </w:r>
    </w:p>
  </w:footnote>
  <w:footnote w:id="49">
    <w:p w:rsidR="00DD224E" w:rsidRPr="007B0293" w:rsidRDefault="00DD224E" w:rsidP="001C1253">
      <w:pPr>
        <w:pStyle w:val="NoSpacing"/>
        <w:rPr>
          <w:rFonts w:asciiTheme="majorHAnsi" w:hAnsiTheme="majorHAnsi" w:cstheme="majorHAnsi"/>
          <w:sz w:val="20"/>
        </w:rPr>
      </w:pPr>
      <w:r w:rsidRPr="007B0293">
        <w:rPr>
          <w:rStyle w:val="FootnoteReference"/>
          <w:rFonts w:asciiTheme="majorHAnsi" w:hAnsiTheme="majorHAnsi" w:cstheme="majorHAnsi"/>
          <w:color w:val="auto"/>
          <w:sz w:val="20"/>
        </w:rPr>
        <w:footnoteRef/>
      </w:r>
      <w:r w:rsidRPr="007B0293">
        <w:rPr>
          <w:rFonts w:asciiTheme="majorHAnsi" w:hAnsiTheme="majorHAnsi" w:cstheme="majorHAnsi"/>
          <w:sz w:val="20"/>
        </w:rPr>
        <w:t xml:space="preserve"> Ibid 17.</w:t>
      </w:r>
    </w:p>
  </w:footnote>
  <w:footnote w:id="50">
    <w:p w:rsidR="00DD224E" w:rsidRPr="007B0293" w:rsidRDefault="00DD224E" w:rsidP="001C1253">
      <w:pPr>
        <w:pStyle w:val="NoSpacing"/>
        <w:rPr>
          <w:rFonts w:asciiTheme="majorHAnsi" w:hAnsiTheme="majorHAnsi" w:cstheme="majorHAnsi"/>
          <w:sz w:val="20"/>
        </w:rPr>
      </w:pPr>
      <w:r w:rsidRPr="007B0293">
        <w:rPr>
          <w:rStyle w:val="FootnoteReference"/>
          <w:rFonts w:asciiTheme="majorHAnsi" w:hAnsiTheme="majorHAnsi" w:cstheme="majorHAnsi"/>
          <w:sz w:val="20"/>
        </w:rPr>
        <w:footnoteRef/>
      </w:r>
      <w:r w:rsidRPr="007B0293">
        <w:rPr>
          <w:rFonts w:asciiTheme="majorHAnsi" w:hAnsiTheme="majorHAnsi" w:cstheme="majorHAnsi"/>
          <w:sz w:val="20"/>
        </w:rPr>
        <w:t xml:space="preserve"> </w:t>
      </w:r>
      <w:hyperlink r:id="rId17" w:history="1">
        <w:r w:rsidRPr="007B0293">
          <w:rPr>
            <w:rStyle w:val="Hyperlink"/>
            <w:rFonts w:asciiTheme="majorHAnsi" w:eastAsiaTheme="majorEastAsia" w:hAnsiTheme="majorHAnsi" w:cstheme="majorHAnsi"/>
            <w:sz w:val="20"/>
          </w:rPr>
          <w:t>http://solitaryconfinement.org/uploads/SpecRapTortureAug2011.pdf para.78</w:t>
        </w:r>
      </w:hyperlink>
      <w:r w:rsidRPr="007B0293">
        <w:rPr>
          <w:rFonts w:asciiTheme="majorHAnsi" w:hAnsiTheme="majorHAnsi" w:cstheme="majorHAnsi"/>
          <w:sz w:val="20"/>
        </w:rPr>
        <w:t xml:space="preserve"> and 32.</w:t>
      </w:r>
    </w:p>
  </w:footnote>
  <w:footnote w:id="51">
    <w:p w:rsidR="00DD224E" w:rsidRPr="007B0293" w:rsidRDefault="00DD224E" w:rsidP="001C1253">
      <w:pPr>
        <w:pStyle w:val="NoSpacing"/>
        <w:rPr>
          <w:rFonts w:asciiTheme="majorHAnsi" w:hAnsiTheme="majorHAnsi" w:cstheme="majorHAnsi"/>
          <w:sz w:val="20"/>
        </w:rPr>
      </w:pPr>
      <w:r w:rsidRPr="007B0293">
        <w:rPr>
          <w:rStyle w:val="FootnoteReference"/>
          <w:rFonts w:asciiTheme="majorHAnsi" w:hAnsiTheme="majorHAnsi" w:cstheme="majorHAnsi"/>
          <w:color w:val="auto"/>
          <w:sz w:val="20"/>
        </w:rPr>
        <w:footnoteRef/>
      </w:r>
      <w:r w:rsidRPr="007B0293">
        <w:rPr>
          <w:rFonts w:asciiTheme="majorHAnsi" w:hAnsiTheme="majorHAnsi" w:cstheme="majorHAnsi"/>
          <w:sz w:val="20"/>
        </w:rPr>
        <w:t xml:space="preserve"> Human Rights Law Resource Centre, ‘Australia’s Compliance with the </w:t>
      </w:r>
      <w:r w:rsidRPr="007B0293">
        <w:rPr>
          <w:rFonts w:asciiTheme="majorHAnsi" w:hAnsiTheme="majorHAnsi" w:cstheme="majorHAnsi"/>
          <w:i/>
          <w:sz w:val="20"/>
        </w:rPr>
        <w:t>Convention against Torture</w:t>
      </w:r>
      <w:r w:rsidRPr="007B0293">
        <w:rPr>
          <w:rFonts w:asciiTheme="majorHAnsi" w:hAnsiTheme="majorHAnsi" w:cstheme="majorHAnsi"/>
          <w:sz w:val="20"/>
        </w:rPr>
        <w:t>: Report to the UN Committee against Torture’ (Report, April 2008) [50] &lt;</w:t>
      </w:r>
      <w:hyperlink r:id="rId18" w:history="1">
        <w:r w:rsidRPr="007B0293">
          <w:rPr>
            <w:rStyle w:val="Hyperlink"/>
            <w:rFonts w:asciiTheme="majorHAnsi" w:eastAsiaTheme="majorEastAsia" w:hAnsiTheme="majorHAnsi" w:cstheme="majorHAnsi"/>
            <w:sz w:val="20"/>
          </w:rPr>
          <w:t>www.hrlrc.org.au/files/4M6OEL69DU/</w:t>
        </w:r>
        <w:r w:rsidRPr="007B0293">
          <w:rPr>
            <w:rStyle w:val="Hyperlink"/>
            <w:rFonts w:asciiTheme="majorHAnsi" w:eastAsiaTheme="majorEastAsia" w:hAnsiTheme="majorHAnsi" w:cstheme="majorHAnsi"/>
            <w:sz w:val="20"/>
          </w:rPr>
          <w:br/>
          <w:t>HRLRC%20Report%20to%20CAT.pdf</w:t>
        </w:r>
      </w:hyperlink>
      <w:r w:rsidRPr="007B0293">
        <w:rPr>
          <w:rFonts w:asciiTheme="majorHAnsi" w:hAnsiTheme="majorHAnsi" w:cstheme="majorHAnsi"/>
          <w:sz w:val="20"/>
        </w:rPr>
        <w:t>&gt;.</w:t>
      </w:r>
    </w:p>
  </w:footnote>
  <w:footnote w:id="52">
    <w:p w:rsidR="00DD224E" w:rsidRPr="007B0293" w:rsidRDefault="00DD224E" w:rsidP="001C1253">
      <w:pPr>
        <w:pStyle w:val="NoSpacing"/>
        <w:rPr>
          <w:rFonts w:asciiTheme="majorHAnsi" w:hAnsiTheme="majorHAnsi" w:cstheme="majorHAnsi"/>
          <w:i/>
          <w:sz w:val="20"/>
        </w:rPr>
      </w:pPr>
      <w:r w:rsidRPr="007B0293">
        <w:rPr>
          <w:rStyle w:val="FootnoteReference"/>
          <w:rFonts w:asciiTheme="majorHAnsi" w:hAnsiTheme="majorHAnsi" w:cstheme="majorHAnsi"/>
          <w:color w:val="auto"/>
          <w:sz w:val="20"/>
        </w:rPr>
        <w:footnoteRef/>
      </w:r>
      <w:r w:rsidRPr="007B0293">
        <w:rPr>
          <w:rFonts w:asciiTheme="majorHAnsi" w:hAnsiTheme="majorHAnsi" w:cstheme="majorHAnsi"/>
          <w:i/>
          <w:sz w:val="20"/>
        </w:rPr>
        <w:t xml:space="preserve"> Inquest into the death of Scott Ashley Simpson</w:t>
      </w:r>
      <w:r w:rsidRPr="007B0293">
        <w:rPr>
          <w:rFonts w:asciiTheme="majorHAnsi" w:hAnsiTheme="majorHAnsi" w:cstheme="majorHAnsi"/>
          <w:sz w:val="20"/>
        </w:rPr>
        <w:t xml:space="preserve"> (Unreported, New South Wales Coroner’s Court, Pinch SM, 17 July 2006).</w:t>
      </w:r>
    </w:p>
  </w:footnote>
  <w:footnote w:id="53">
    <w:p w:rsidR="00DD224E" w:rsidRPr="007B0293" w:rsidRDefault="00DD224E" w:rsidP="001C1253">
      <w:pPr>
        <w:pStyle w:val="NoSpacing"/>
        <w:rPr>
          <w:rFonts w:asciiTheme="majorHAnsi" w:hAnsiTheme="majorHAnsi" w:cstheme="majorHAnsi"/>
          <w:sz w:val="20"/>
        </w:rPr>
      </w:pPr>
      <w:r w:rsidRPr="007B0293">
        <w:rPr>
          <w:rStyle w:val="FootnoteReference"/>
          <w:rFonts w:asciiTheme="majorHAnsi" w:hAnsiTheme="majorHAnsi" w:cstheme="majorHAnsi"/>
          <w:color w:val="auto"/>
          <w:sz w:val="20"/>
        </w:rPr>
        <w:footnoteRef/>
      </w:r>
      <w:r w:rsidRPr="007B0293">
        <w:rPr>
          <w:rFonts w:asciiTheme="majorHAnsi" w:hAnsiTheme="majorHAnsi" w:cstheme="majorHAnsi"/>
          <w:sz w:val="20"/>
        </w:rPr>
        <w:t xml:space="preserve"> </w:t>
      </w:r>
      <w:proofErr w:type="spellStart"/>
      <w:r w:rsidRPr="007B0293">
        <w:rPr>
          <w:rFonts w:asciiTheme="majorHAnsi" w:hAnsiTheme="majorHAnsi" w:cstheme="majorHAnsi"/>
          <w:sz w:val="20"/>
        </w:rPr>
        <w:t>Forensicare</w:t>
      </w:r>
      <w:proofErr w:type="spellEnd"/>
      <w:r w:rsidRPr="007B0293">
        <w:rPr>
          <w:rFonts w:asciiTheme="majorHAnsi" w:hAnsiTheme="majorHAnsi" w:cstheme="majorHAnsi"/>
          <w:sz w:val="20"/>
        </w:rPr>
        <w:t xml:space="preserve">, above n </w:t>
      </w:r>
      <w:r w:rsidRPr="007B0293">
        <w:rPr>
          <w:rFonts w:asciiTheme="majorHAnsi" w:hAnsiTheme="majorHAnsi" w:cstheme="majorHAnsi"/>
          <w:sz w:val="20"/>
        </w:rPr>
        <w:fldChar w:fldCharType="begin"/>
      </w:r>
      <w:r w:rsidRPr="007B0293">
        <w:rPr>
          <w:rFonts w:asciiTheme="majorHAnsi" w:hAnsiTheme="majorHAnsi" w:cstheme="majorHAnsi"/>
          <w:sz w:val="20"/>
        </w:rPr>
        <w:instrText xml:space="preserve"> NOTEREF _Ref322508111 \h  \* MERGEFORMAT </w:instrText>
      </w:r>
      <w:r w:rsidRPr="007B0293">
        <w:rPr>
          <w:rFonts w:asciiTheme="majorHAnsi" w:hAnsiTheme="majorHAnsi" w:cstheme="majorHAnsi"/>
          <w:sz w:val="20"/>
        </w:rPr>
      </w:r>
      <w:r w:rsidRPr="007B0293">
        <w:rPr>
          <w:rFonts w:asciiTheme="majorHAnsi" w:hAnsiTheme="majorHAnsi" w:cstheme="majorHAnsi"/>
          <w:sz w:val="20"/>
        </w:rPr>
        <w:fldChar w:fldCharType="separate"/>
      </w:r>
      <w:r w:rsidR="00045F9B">
        <w:rPr>
          <w:rFonts w:asciiTheme="majorHAnsi" w:hAnsiTheme="majorHAnsi" w:cstheme="majorHAnsi"/>
          <w:sz w:val="20"/>
        </w:rPr>
        <w:t>67</w:t>
      </w:r>
      <w:r w:rsidRPr="007B0293">
        <w:rPr>
          <w:rFonts w:asciiTheme="majorHAnsi" w:hAnsiTheme="majorHAnsi" w:cstheme="majorHAnsi"/>
          <w:sz w:val="20"/>
        </w:rPr>
        <w:fldChar w:fldCharType="end"/>
      </w:r>
      <w:r w:rsidRPr="007B0293">
        <w:rPr>
          <w:rFonts w:asciiTheme="majorHAnsi" w:hAnsiTheme="majorHAnsi" w:cstheme="majorHAnsi"/>
          <w:sz w:val="20"/>
        </w:rPr>
        <w:t>, 21.</w:t>
      </w:r>
    </w:p>
  </w:footnote>
  <w:footnote w:id="54">
    <w:p w:rsidR="00DD224E" w:rsidRPr="007B0293" w:rsidRDefault="00DD224E" w:rsidP="001C1253">
      <w:pPr>
        <w:pStyle w:val="NoSpacing"/>
        <w:rPr>
          <w:rFonts w:asciiTheme="majorHAnsi" w:hAnsiTheme="majorHAnsi" w:cstheme="majorHAnsi"/>
          <w:sz w:val="20"/>
        </w:rPr>
      </w:pPr>
      <w:r w:rsidRPr="007B0293">
        <w:rPr>
          <w:rStyle w:val="FootnoteReference"/>
          <w:rFonts w:asciiTheme="majorHAnsi" w:hAnsiTheme="majorHAnsi" w:cstheme="majorHAnsi"/>
          <w:color w:val="auto"/>
          <w:sz w:val="20"/>
        </w:rPr>
        <w:footnoteRef/>
      </w:r>
      <w:r w:rsidRPr="007B0293">
        <w:rPr>
          <w:rFonts w:asciiTheme="majorHAnsi" w:hAnsiTheme="majorHAnsi" w:cstheme="majorHAnsi"/>
          <w:sz w:val="20"/>
        </w:rPr>
        <w:t xml:space="preserve"> Ibid 20.</w:t>
      </w:r>
    </w:p>
  </w:footnote>
  <w:footnote w:id="55">
    <w:p w:rsidR="00DD224E" w:rsidRPr="007B0293" w:rsidRDefault="00DD224E" w:rsidP="001C1253">
      <w:pPr>
        <w:pStyle w:val="NoSpacing"/>
        <w:rPr>
          <w:rFonts w:asciiTheme="majorHAnsi" w:hAnsiTheme="majorHAnsi" w:cstheme="majorHAnsi"/>
          <w:sz w:val="20"/>
        </w:rPr>
      </w:pPr>
      <w:r w:rsidRPr="007B0293">
        <w:rPr>
          <w:rStyle w:val="FootnoteReference"/>
          <w:rFonts w:asciiTheme="majorHAnsi" w:hAnsiTheme="majorHAnsi" w:cstheme="majorHAnsi"/>
          <w:color w:val="auto"/>
          <w:sz w:val="20"/>
        </w:rPr>
        <w:footnoteRef/>
      </w:r>
      <w:r w:rsidRPr="007B0293">
        <w:rPr>
          <w:rFonts w:asciiTheme="majorHAnsi" w:hAnsiTheme="majorHAnsi" w:cstheme="majorHAnsi"/>
          <w:sz w:val="20"/>
        </w:rPr>
        <w:t xml:space="preserve"> </w:t>
      </w:r>
      <w:r w:rsidRPr="007B0293">
        <w:rPr>
          <w:rFonts w:asciiTheme="majorHAnsi" w:hAnsiTheme="majorHAnsi" w:cstheme="majorHAnsi"/>
          <w:i/>
          <w:sz w:val="20"/>
        </w:rPr>
        <w:t>Inquest into the death of Scott Ashley Simpson</w:t>
      </w:r>
      <w:r w:rsidRPr="007B0293">
        <w:rPr>
          <w:rFonts w:asciiTheme="majorHAnsi" w:hAnsiTheme="majorHAnsi" w:cstheme="majorHAnsi"/>
          <w:sz w:val="20"/>
        </w:rPr>
        <w:t xml:space="preserve"> </w:t>
      </w:r>
      <w:r>
        <w:rPr>
          <w:rFonts w:asciiTheme="majorHAnsi" w:hAnsiTheme="majorHAnsi" w:cstheme="majorHAnsi"/>
          <w:sz w:val="20"/>
        </w:rPr>
        <w:t>(Unreported, NSW Coroner’s Court, Pinch SM, 17 July 2006)</w:t>
      </w:r>
      <w:r w:rsidRPr="007B0293">
        <w:rPr>
          <w:rFonts w:asciiTheme="majorHAnsi" w:hAnsiTheme="majorHAnsi" w:cstheme="majorHAnsi"/>
          <w:sz w:val="20"/>
        </w:rPr>
        <w:t xml:space="preserve">; NSW Council for Civil Liberties, ‘Addendum — Shadow Report Prepared for the United Nations Committee Against Torture on the Occasion of its Review of Australia’s Third Periodic Report under the </w:t>
      </w:r>
      <w:r w:rsidRPr="007B0293">
        <w:rPr>
          <w:rFonts w:asciiTheme="majorHAnsi" w:hAnsiTheme="majorHAnsi" w:cstheme="majorHAnsi"/>
          <w:i/>
          <w:sz w:val="20"/>
        </w:rPr>
        <w:t>Convention Against Torture and other Cruel</w:t>
      </w:r>
      <w:r w:rsidRPr="007B0293">
        <w:rPr>
          <w:rFonts w:asciiTheme="majorHAnsi" w:hAnsiTheme="majorHAnsi" w:cstheme="majorHAnsi"/>
          <w:sz w:val="20"/>
        </w:rPr>
        <w:t xml:space="preserve">, </w:t>
      </w:r>
      <w:r w:rsidRPr="007B0293">
        <w:rPr>
          <w:rFonts w:asciiTheme="majorHAnsi" w:hAnsiTheme="majorHAnsi" w:cstheme="majorHAnsi"/>
          <w:i/>
          <w:sz w:val="20"/>
        </w:rPr>
        <w:t>Inhuman or Degrading Treatment or Punishment</w:t>
      </w:r>
      <w:r w:rsidRPr="007B0293">
        <w:rPr>
          <w:rFonts w:asciiTheme="majorHAnsi" w:hAnsiTheme="majorHAnsi" w:cstheme="majorHAnsi"/>
          <w:sz w:val="20"/>
        </w:rPr>
        <w:t>’ (Report, NSW Council for Civil Liberties, 16 September 2007) 10–12 &lt;</w:t>
      </w:r>
      <w:hyperlink r:id="rId19" w:history="1">
        <w:r w:rsidRPr="007B0293">
          <w:rPr>
            <w:rStyle w:val="Hyperlink"/>
            <w:rFonts w:asciiTheme="majorHAnsi" w:eastAsiaTheme="majorEastAsia" w:hAnsiTheme="majorHAnsi" w:cstheme="majorHAnsi"/>
            <w:sz w:val="20"/>
          </w:rPr>
          <w:t>http://www2.ohchr.org/english/bodies/cat/docs/ngos/NSWCCL.Add.1.pdf</w:t>
        </w:r>
      </w:hyperlink>
      <w:r w:rsidRPr="007B0293">
        <w:rPr>
          <w:rFonts w:asciiTheme="majorHAnsi" w:hAnsiTheme="majorHAnsi" w:cstheme="majorHAnsi"/>
          <w:sz w:val="20"/>
        </w:rPr>
        <w:t>&gt;.</w:t>
      </w:r>
    </w:p>
  </w:footnote>
  <w:footnote w:id="56">
    <w:p w:rsidR="00DD224E" w:rsidRPr="007B0293" w:rsidRDefault="00DD224E" w:rsidP="001C1253">
      <w:pPr>
        <w:pStyle w:val="NoSpacing"/>
        <w:rPr>
          <w:rFonts w:asciiTheme="majorHAnsi" w:hAnsiTheme="majorHAnsi" w:cstheme="majorHAnsi"/>
          <w:sz w:val="20"/>
        </w:rPr>
      </w:pPr>
      <w:r w:rsidRPr="007B0293">
        <w:rPr>
          <w:rStyle w:val="FootnoteReference"/>
          <w:rFonts w:asciiTheme="majorHAnsi" w:hAnsiTheme="majorHAnsi" w:cstheme="majorHAnsi"/>
          <w:sz w:val="20"/>
        </w:rPr>
        <w:footnoteRef/>
      </w:r>
      <w:r w:rsidRPr="007B0293">
        <w:rPr>
          <w:rFonts w:asciiTheme="majorHAnsi" w:hAnsiTheme="majorHAnsi" w:cstheme="majorHAnsi"/>
          <w:sz w:val="20"/>
        </w:rPr>
        <w:t xml:space="preserve"> </w:t>
      </w:r>
      <w:r>
        <w:rPr>
          <w:rFonts w:asciiTheme="majorHAnsi" w:hAnsiTheme="majorHAnsi" w:cstheme="majorHAnsi"/>
          <w:sz w:val="20"/>
        </w:rPr>
        <w:t xml:space="preserve">Parts of this section are extracted from </w:t>
      </w:r>
      <w:r w:rsidRPr="007B0293">
        <w:rPr>
          <w:rFonts w:asciiTheme="majorHAnsi" w:hAnsiTheme="majorHAnsi" w:cstheme="majorHAnsi"/>
          <w:sz w:val="20"/>
        </w:rPr>
        <w:t xml:space="preserve">People with Disability Australia (2014), </w:t>
      </w:r>
      <w:r w:rsidRPr="007B0293">
        <w:rPr>
          <w:rFonts w:asciiTheme="majorHAnsi" w:hAnsiTheme="majorHAnsi" w:cstheme="majorHAnsi"/>
          <w:i/>
          <w:sz w:val="20"/>
        </w:rPr>
        <w:t>Consideration of the 4th and 5th Reports of Australia by the Committee to the Convention Against Torture</w:t>
      </w:r>
      <w:r w:rsidRPr="007B0293">
        <w:rPr>
          <w:rFonts w:asciiTheme="majorHAnsi" w:hAnsiTheme="majorHAnsi" w:cstheme="majorHAnsi"/>
          <w:sz w:val="20"/>
        </w:rPr>
        <w:t xml:space="preserve"> at </w:t>
      </w:r>
      <w:r>
        <w:rPr>
          <w:rFonts w:asciiTheme="majorHAnsi" w:hAnsiTheme="majorHAnsi" w:cstheme="majorHAnsi"/>
          <w:sz w:val="20"/>
        </w:rPr>
        <w:t xml:space="preserve"> </w:t>
      </w:r>
      <w:hyperlink r:id="rId20" w:history="1">
        <w:r w:rsidRPr="007B0293">
          <w:rPr>
            <w:rStyle w:val="Hyperlink"/>
            <w:rFonts w:asciiTheme="majorHAnsi" w:hAnsiTheme="majorHAnsi" w:cstheme="majorHAnsi"/>
            <w:sz w:val="20"/>
          </w:rPr>
          <w:t>http://www.pwd.org.au/documents/pubs/SB14-UNCAT.doc</w:t>
        </w:r>
      </w:hyperlink>
    </w:p>
  </w:footnote>
  <w:footnote w:id="57">
    <w:p w:rsidR="00DD224E" w:rsidRPr="007B0293" w:rsidRDefault="00DD224E" w:rsidP="001C1253">
      <w:pPr>
        <w:pStyle w:val="NoSpacing"/>
        <w:rPr>
          <w:rFonts w:asciiTheme="majorHAnsi" w:hAnsiTheme="majorHAnsi" w:cstheme="majorHAnsi"/>
          <w:sz w:val="20"/>
        </w:rPr>
      </w:pPr>
      <w:r w:rsidRPr="007B0293">
        <w:rPr>
          <w:rStyle w:val="FootnoteReference"/>
          <w:rFonts w:asciiTheme="majorHAnsi" w:hAnsiTheme="majorHAnsi" w:cstheme="majorHAnsi"/>
          <w:sz w:val="20"/>
        </w:rPr>
        <w:footnoteRef/>
      </w:r>
      <w:r w:rsidRPr="007B0293">
        <w:rPr>
          <w:rFonts w:asciiTheme="majorHAnsi" w:hAnsiTheme="majorHAnsi" w:cstheme="majorHAnsi"/>
          <w:sz w:val="20"/>
        </w:rPr>
        <w:t xml:space="preserve"> Richard Baker and Nick McKenzie, ‘Deaths in Mental Health Facilities: Unexpected, Unnatural and Violent’, </w:t>
      </w:r>
      <w:r w:rsidRPr="007B0293">
        <w:rPr>
          <w:rFonts w:asciiTheme="majorHAnsi" w:hAnsiTheme="majorHAnsi" w:cstheme="majorHAnsi"/>
          <w:i/>
          <w:sz w:val="20"/>
        </w:rPr>
        <w:t xml:space="preserve">The Age </w:t>
      </w:r>
      <w:r w:rsidRPr="007B0293">
        <w:rPr>
          <w:rFonts w:asciiTheme="majorHAnsi" w:hAnsiTheme="majorHAnsi" w:cstheme="majorHAnsi"/>
          <w:sz w:val="20"/>
        </w:rPr>
        <w:t>(Melbourne) 3 September 2011 &lt;</w:t>
      </w:r>
      <w:hyperlink r:id="rId21" w:anchor="ixzz1bYnkI55H" w:history="1">
        <w:r w:rsidRPr="007B0293">
          <w:rPr>
            <w:rStyle w:val="Hyperlink"/>
            <w:rFonts w:asciiTheme="majorHAnsi" w:eastAsiaTheme="majorEastAsia" w:hAnsiTheme="majorHAnsi" w:cstheme="majorHAnsi"/>
            <w:sz w:val="20"/>
          </w:rPr>
          <w:t>www.theage.com.au/victoria/deaths-in-mental-health-facilities-unexpected-unnatural-and-violent-20110902-1jqdg.html#ixzz1bYnkI55H</w:t>
        </w:r>
      </w:hyperlink>
      <w:r w:rsidRPr="007B0293">
        <w:rPr>
          <w:rFonts w:asciiTheme="majorHAnsi" w:hAnsiTheme="majorHAnsi" w:cstheme="majorHAnsi"/>
          <w:sz w:val="20"/>
        </w:rPr>
        <w:t>&gt; 14.</w:t>
      </w:r>
    </w:p>
  </w:footnote>
  <w:footnote w:id="58">
    <w:p w:rsidR="00DD224E" w:rsidRPr="007B0293" w:rsidRDefault="00DD224E" w:rsidP="001C1253">
      <w:pPr>
        <w:pStyle w:val="NoSpacing"/>
        <w:rPr>
          <w:rFonts w:asciiTheme="majorHAnsi" w:hAnsiTheme="majorHAnsi" w:cstheme="majorHAnsi"/>
          <w:sz w:val="20"/>
        </w:rPr>
      </w:pPr>
      <w:r w:rsidRPr="007B0293">
        <w:rPr>
          <w:rStyle w:val="FootnoteReference"/>
          <w:rFonts w:asciiTheme="majorHAnsi" w:hAnsiTheme="majorHAnsi" w:cstheme="majorHAnsi"/>
          <w:sz w:val="20"/>
        </w:rPr>
        <w:footnoteRef/>
      </w:r>
      <w:r w:rsidRPr="007B0293">
        <w:rPr>
          <w:rFonts w:asciiTheme="majorHAnsi" w:hAnsiTheme="majorHAnsi" w:cstheme="majorHAnsi"/>
          <w:sz w:val="20"/>
        </w:rPr>
        <w:t xml:space="preserve"> A/HRC/22/53 Juan E. Mendez </w:t>
      </w:r>
      <w:proofErr w:type="spellStart"/>
      <w:r w:rsidRPr="007B0293">
        <w:rPr>
          <w:rFonts w:asciiTheme="majorHAnsi" w:hAnsiTheme="majorHAnsi" w:cstheme="majorHAnsi"/>
          <w:sz w:val="20"/>
        </w:rPr>
        <w:t>para</w:t>
      </w:r>
      <w:proofErr w:type="spellEnd"/>
      <w:r w:rsidRPr="007B0293">
        <w:rPr>
          <w:rFonts w:asciiTheme="majorHAnsi" w:hAnsiTheme="majorHAnsi" w:cstheme="majorHAnsi"/>
          <w:sz w:val="20"/>
        </w:rPr>
        <w:t xml:space="preserve"> 32. </w:t>
      </w:r>
    </w:p>
  </w:footnote>
  <w:footnote w:id="59">
    <w:p w:rsidR="00DD224E" w:rsidRPr="006649F9" w:rsidRDefault="00DD224E" w:rsidP="001C1253">
      <w:pPr>
        <w:pStyle w:val="NoSpacing"/>
        <w:rPr>
          <w:rFonts w:asciiTheme="minorHAnsi" w:hAnsiTheme="minorHAnsi" w:cs="Arial"/>
          <w:color w:val="auto"/>
          <w:sz w:val="20"/>
        </w:rPr>
      </w:pPr>
      <w:r w:rsidRPr="007B0293">
        <w:rPr>
          <w:rStyle w:val="FootnoteReference"/>
          <w:rFonts w:asciiTheme="majorHAnsi" w:hAnsiTheme="majorHAnsi" w:cstheme="majorHAnsi"/>
          <w:color w:val="auto"/>
          <w:sz w:val="20"/>
        </w:rPr>
        <w:footnoteRef/>
      </w:r>
      <w:r w:rsidRPr="007B0293">
        <w:rPr>
          <w:rFonts w:asciiTheme="majorHAnsi" w:hAnsiTheme="majorHAnsi" w:cstheme="majorHAnsi"/>
          <w:color w:val="auto"/>
          <w:sz w:val="20"/>
        </w:rPr>
        <w:t xml:space="preserve"> An involuntary treatment order </w:t>
      </w:r>
      <w:proofErr w:type="spellStart"/>
      <w:r w:rsidRPr="007B0293">
        <w:rPr>
          <w:rFonts w:asciiTheme="majorHAnsi" w:hAnsiTheme="majorHAnsi" w:cstheme="majorHAnsi"/>
          <w:color w:val="auto"/>
          <w:sz w:val="20"/>
        </w:rPr>
        <w:t>authorises</w:t>
      </w:r>
      <w:proofErr w:type="spellEnd"/>
      <w:r w:rsidRPr="007B0293">
        <w:rPr>
          <w:rFonts w:asciiTheme="majorHAnsi" w:hAnsiTheme="majorHAnsi" w:cstheme="majorHAnsi"/>
          <w:color w:val="auto"/>
          <w:sz w:val="20"/>
        </w:rPr>
        <w:t xml:space="preserve"> involuntary treatment for mental illness. An involuntary treatment order can be made if an </w:t>
      </w:r>
      <w:proofErr w:type="spellStart"/>
      <w:r w:rsidRPr="007B0293">
        <w:rPr>
          <w:rFonts w:asciiTheme="majorHAnsi" w:hAnsiTheme="majorHAnsi" w:cstheme="majorHAnsi"/>
          <w:color w:val="auto"/>
          <w:sz w:val="20"/>
        </w:rPr>
        <w:t>authorised</w:t>
      </w:r>
      <w:proofErr w:type="spellEnd"/>
      <w:r w:rsidRPr="007B0293">
        <w:rPr>
          <w:rFonts w:asciiTheme="majorHAnsi" w:hAnsiTheme="majorHAnsi" w:cstheme="majorHAnsi"/>
          <w:color w:val="auto"/>
          <w:sz w:val="20"/>
        </w:rPr>
        <w:t xml:space="preserve"> doctor is satisfied that all the criteria for involuntary treatment apply:</w:t>
      </w:r>
      <w:r w:rsidRPr="006649F9">
        <w:rPr>
          <w:rFonts w:asciiTheme="minorHAnsi" w:hAnsiTheme="minorHAnsi" w:cs="Arial"/>
          <w:color w:val="auto"/>
          <w:sz w:val="20"/>
        </w:rPr>
        <w:t xml:space="preserve"> Queensland Health, ‘</w:t>
      </w:r>
      <w:r w:rsidRPr="006649F9">
        <w:rPr>
          <w:rFonts w:asciiTheme="minorHAnsi" w:hAnsiTheme="minorHAnsi" w:cs="Arial"/>
          <w:i/>
          <w:color w:val="auto"/>
          <w:sz w:val="20"/>
        </w:rPr>
        <w:t>Mental Health Act 2000</w:t>
      </w:r>
      <w:r w:rsidRPr="006649F9">
        <w:rPr>
          <w:rFonts w:asciiTheme="minorHAnsi" w:hAnsiTheme="minorHAnsi" w:cs="Arial"/>
          <w:color w:val="auto"/>
          <w:sz w:val="20"/>
        </w:rPr>
        <w:t xml:space="preserve"> — Involuntary Treatment’ (Fact Sheet No 3, Queensland Government, undated) &lt;</w:t>
      </w:r>
      <w:hyperlink r:id="rId22" w:history="1">
        <w:r w:rsidRPr="006649F9">
          <w:rPr>
            <w:rStyle w:val="Hyperlink"/>
            <w:rFonts w:asciiTheme="minorHAnsi" w:eastAsiaTheme="majorEastAsia" w:hAnsiTheme="minorHAnsi" w:cs="Arial"/>
            <w:sz w:val="20"/>
          </w:rPr>
          <w:t>www.health.qld.gov.au/mha2000/documents/factsheet3.pdf</w:t>
        </w:r>
      </w:hyperlink>
      <w:r w:rsidRPr="006649F9">
        <w:rPr>
          <w:rFonts w:asciiTheme="minorHAnsi" w:hAnsiTheme="minorHAnsi" w:cs="Arial"/>
          <w:color w:val="auto"/>
          <w:sz w:val="20"/>
        </w:rPr>
        <w:t>&gt;.</w:t>
      </w:r>
    </w:p>
  </w:footnote>
  <w:footnote w:id="60">
    <w:p w:rsidR="00DD224E" w:rsidRPr="006D1898" w:rsidRDefault="00DD224E" w:rsidP="001C1253">
      <w:pPr>
        <w:pStyle w:val="NoSpacing"/>
        <w:rPr>
          <w:rFonts w:asciiTheme="majorHAnsi" w:hAnsiTheme="majorHAnsi" w:cstheme="majorHAnsi"/>
          <w:color w:val="auto"/>
          <w:sz w:val="20"/>
        </w:rPr>
      </w:pPr>
      <w:r w:rsidRPr="006D1898">
        <w:rPr>
          <w:rStyle w:val="FootnoteReference"/>
          <w:rFonts w:asciiTheme="majorHAnsi" w:hAnsiTheme="majorHAnsi" w:cstheme="majorHAnsi"/>
          <w:color w:val="auto"/>
          <w:sz w:val="20"/>
        </w:rPr>
        <w:footnoteRef/>
      </w:r>
      <w:r w:rsidRPr="006D1898">
        <w:rPr>
          <w:rFonts w:asciiTheme="majorHAnsi" w:hAnsiTheme="majorHAnsi" w:cstheme="majorHAnsi"/>
          <w:color w:val="auto"/>
          <w:sz w:val="20"/>
        </w:rPr>
        <w:t xml:space="preserve"> A supervised treatment order is a civil order in relation to a person with an intellectual disability (who is receiving residential services) to prevent the risk of significant harm to others: Department of Human Services, ‘Supervised Treatment —</w:t>
      </w:r>
      <w:r w:rsidRPr="006D1898">
        <w:rPr>
          <w:rFonts w:asciiTheme="majorHAnsi" w:hAnsiTheme="majorHAnsi" w:cstheme="majorHAnsi"/>
          <w:i/>
          <w:color w:val="auto"/>
          <w:sz w:val="20"/>
        </w:rPr>
        <w:t xml:space="preserve"> Disability Act 2006</w:t>
      </w:r>
      <w:r w:rsidRPr="006D1898">
        <w:rPr>
          <w:rFonts w:asciiTheme="majorHAnsi" w:hAnsiTheme="majorHAnsi" w:cstheme="majorHAnsi"/>
          <w:color w:val="auto"/>
          <w:sz w:val="20"/>
        </w:rPr>
        <w:t xml:space="preserve">’ (Information Sheet No 15, Victorian Government, 2011) </w:t>
      </w:r>
      <w:hyperlink r:id="rId23" w:history="1">
        <w:r w:rsidRPr="006D1898">
          <w:rPr>
            <w:rStyle w:val="Hyperlink"/>
            <w:rFonts w:asciiTheme="majorHAnsi" w:eastAsiaTheme="majorEastAsia" w:hAnsiTheme="majorHAnsi" w:cstheme="majorHAnsi"/>
            <w:sz w:val="20"/>
          </w:rPr>
          <w:t>www.dhs.vic.gov.au/__data/assets/pdf_file/0005/152663/disact_infosheet15supervisedtreatment_pdf_280607.pdf</w:t>
        </w:r>
      </w:hyperlink>
      <w:r w:rsidRPr="006D1898">
        <w:rPr>
          <w:rFonts w:asciiTheme="majorHAnsi" w:hAnsiTheme="majorHAnsi" w:cstheme="majorHAnsi"/>
          <w:color w:val="auto"/>
          <w:sz w:val="20"/>
        </w:rPr>
        <w:t>.</w:t>
      </w:r>
    </w:p>
  </w:footnote>
  <w:footnote w:id="61">
    <w:p w:rsidR="00DD224E" w:rsidRPr="006D1898" w:rsidRDefault="00DD224E" w:rsidP="001C1253">
      <w:pPr>
        <w:pStyle w:val="NoSpacing"/>
        <w:rPr>
          <w:rFonts w:asciiTheme="majorHAnsi" w:hAnsiTheme="majorHAnsi" w:cstheme="majorHAnsi"/>
          <w:color w:val="auto"/>
          <w:sz w:val="20"/>
        </w:rPr>
      </w:pPr>
      <w:r w:rsidRPr="006D1898">
        <w:rPr>
          <w:rStyle w:val="FootnoteReference"/>
          <w:rFonts w:asciiTheme="majorHAnsi" w:hAnsiTheme="majorHAnsi" w:cstheme="majorHAnsi"/>
          <w:color w:val="auto"/>
          <w:sz w:val="20"/>
        </w:rPr>
        <w:footnoteRef/>
      </w:r>
      <w:r w:rsidRPr="006D1898">
        <w:rPr>
          <w:rFonts w:asciiTheme="majorHAnsi" w:hAnsiTheme="majorHAnsi" w:cstheme="majorHAnsi"/>
          <w:color w:val="auto"/>
          <w:sz w:val="20"/>
        </w:rPr>
        <w:t xml:space="preserve"> A Community Treatment Order allows a person to receive compulsory treatment whilst living in the community.</w:t>
      </w:r>
    </w:p>
  </w:footnote>
  <w:footnote w:id="62">
    <w:p w:rsidR="00DD224E" w:rsidRPr="006D1898" w:rsidRDefault="00DD224E" w:rsidP="001C1253">
      <w:pPr>
        <w:pStyle w:val="NoSpacing"/>
        <w:rPr>
          <w:rFonts w:asciiTheme="majorHAnsi" w:hAnsiTheme="majorHAnsi" w:cstheme="majorHAnsi"/>
          <w:color w:val="auto"/>
          <w:sz w:val="20"/>
        </w:rPr>
      </w:pPr>
      <w:r w:rsidRPr="006D1898">
        <w:rPr>
          <w:rStyle w:val="FootnoteReference"/>
          <w:rFonts w:asciiTheme="majorHAnsi" w:hAnsiTheme="majorHAnsi" w:cstheme="majorHAnsi"/>
          <w:color w:val="auto"/>
          <w:sz w:val="20"/>
        </w:rPr>
        <w:footnoteRef/>
      </w:r>
      <w:r w:rsidRPr="006D1898">
        <w:rPr>
          <w:rFonts w:asciiTheme="majorHAnsi" w:hAnsiTheme="majorHAnsi" w:cstheme="majorHAnsi"/>
          <w:color w:val="auto"/>
          <w:sz w:val="20"/>
        </w:rPr>
        <w:t xml:space="preserve"> Terry Carney and Fleur </w:t>
      </w:r>
      <w:proofErr w:type="spellStart"/>
      <w:r w:rsidRPr="006D1898">
        <w:rPr>
          <w:rFonts w:asciiTheme="majorHAnsi" w:hAnsiTheme="majorHAnsi" w:cstheme="majorHAnsi"/>
          <w:color w:val="auto"/>
          <w:sz w:val="20"/>
        </w:rPr>
        <w:t>Beaupert</w:t>
      </w:r>
      <w:proofErr w:type="spellEnd"/>
      <w:r w:rsidRPr="006D1898">
        <w:rPr>
          <w:rFonts w:asciiTheme="majorHAnsi" w:hAnsiTheme="majorHAnsi" w:cstheme="majorHAnsi"/>
          <w:color w:val="auto"/>
          <w:sz w:val="20"/>
        </w:rPr>
        <w:t xml:space="preserve">, ‘Mental Health Tribunals: Rights Drowning in Un-’Chartered’ Health Waters?’ (2008) 3 </w:t>
      </w:r>
      <w:r w:rsidRPr="006D1898">
        <w:rPr>
          <w:rFonts w:asciiTheme="majorHAnsi" w:hAnsiTheme="majorHAnsi" w:cstheme="majorHAnsi"/>
          <w:i/>
          <w:color w:val="auto"/>
          <w:sz w:val="20"/>
        </w:rPr>
        <w:t>Australian Journal of Human Right</w:t>
      </w:r>
      <w:r w:rsidRPr="006D1898">
        <w:rPr>
          <w:rFonts w:asciiTheme="majorHAnsi" w:hAnsiTheme="majorHAnsi" w:cstheme="majorHAnsi"/>
          <w:color w:val="auto"/>
          <w:sz w:val="20"/>
        </w:rPr>
        <w:t xml:space="preserve"> 181.</w:t>
      </w:r>
    </w:p>
  </w:footnote>
  <w:footnote w:id="63">
    <w:p w:rsidR="00DD224E" w:rsidRPr="006D1898" w:rsidRDefault="00DD224E" w:rsidP="001C1253">
      <w:pPr>
        <w:pStyle w:val="NoSpacing"/>
        <w:rPr>
          <w:rFonts w:asciiTheme="majorHAnsi" w:hAnsiTheme="majorHAnsi" w:cstheme="majorHAnsi"/>
          <w:sz w:val="20"/>
        </w:rPr>
      </w:pPr>
      <w:r w:rsidRPr="006D1898">
        <w:rPr>
          <w:rStyle w:val="FootnoteReference"/>
          <w:rFonts w:asciiTheme="majorHAnsi" w:hAnsiTheme="majorHAnsi" w:cstheme="majorHAnsi"/>
          <w:sz w:val="20"/>
        </w:rPr>
        <w:footnoteRef/>
      </w:r>
      <w:r w:rsidRPr="006D1898">
        <w:rPr>
          <w:rFonts w:asciiTheme="majorHAnsi" w:hAnsiTheme="majorHAnsi" w:cstheme="majorHAnsi"/>
          <w:sz w:val="20"/>
        </w:rPr>
        <w:t xml:space="preserve"> Frohmader, C., &amp; Sands, T., (2015) </w:t>
      </w:r>
      <w:proofErr w:type="spellStart"/>
      <w:r w:rsidRPr="006D1898">
        <w:rPr>
          <w:rFonts w:asciiTheme="majorHAnsi" w:hAnsiTheme="majorHAnsi" w:cstheme="majorHAnsi"/>
          <w:i/>
          <w:sz w:val="20"/>
        </w:rPr>
        <w:t>op.cit</w:t>
      </w:r>
      <w:proofErr w:type="spellEnd"/>
      <w:r w:rsidRPr="006D1898">
        <w:rPr>
          <w:rFonts w:asciiTheme="majorHAnsi" w:hAnsiTheme="majorHAnsi" w:cstheme="majorHAnsi"/>
          <w:i/>
          <w:sz w:val="20"/>
        </w:rPr>
        <w:t xml:space="preserve">., </w:t>
      </w:r>
      <w:r w:rsidRPr="006D1898">
        <w:rPr>
          <w:rFonts w:asciiTheme="majorHAnsi" w:hAnsiTheme="majorHAnsi" w:cstheme="majorHAnsi"/>
          <w:sz w:val="20"/>
        </w:rPr>
        <w:t>p.54</w:t>
      </w:r>
    </w:p>
  </w:footnote>
  <w:footnote w:id="64">
    <w:p w:rsidR="00DD224E" w:rsidRPr="006D1898" w:rsidRDefault="00DD224E" w:rsidP="00417A6D">
      <w:pPr>
        <w:pStyle w:val="FootnoteText"/>
        <w:rPr>
          <w:rFonts w:asciiTheme="majorHAnsi" w:hAnsiTheme="majorHAnsi" w:cstheme="majorHAnsi"/>
          <w:sz w:val="20"/>
          <w:szCs w:val="20"/>
        </w:rPr>
      </w:pPr>
      <w:r w:rsidRPr="006D1898">
        <w:rPr>
          <w:rStyle w:val="FootnoteReference"/>
          <w:rFonts w:asciiTheme="majorHAnsi" w:hAnsiTheme="majorHAnsi" w:cstheme="majorHAnsi"/>
          <w:sz w:val="20"/>
          <w:szCs w:val="20"/>
        </w:rPr>
        <w:footnoteRef/>
      </w:r>
      <w:r w:rsidRPr="006D1898">
        <w:rPr>
          <w:rFonts w:asciiTheme="majorHAnsi" w:hAnsiTheme="majorHAnsi" w:cstheme="majorHAnsi"/>
          <w:sz w:val="20"/>
          <w:szCs w:val="20"/>
        </w:rPr>
        <w:t xml:space="preserve"> UN Doc CRPD/C/AUS/CO/1, Para 34</w:t>
      </w:r>
    </w:p>
  </w:footnote>
  <w:footnote w:id="65">
    <w:p w:rsidR="00DD224E" w:rsidRPr="006D1898" w:rsidRDefault="00DD224E" w:rsidP="001C1253">
      <w:pPr>
        <w:pStyle w:val="NoSpacing"/>
        <w:rPr>
          <w:rFonts w:asciiTheme="majorHAnsi" w:hAnsiTheme="majorHAnsi" w:cstheme="majorHAnsi"/>
          <w:sz w:val="20"/>
        </w:rPr>
      </w:pPr>
      <w:r w:rsidRPr="006D1898">
        <w:rPr>
          <w:rStyle w:val="FootnoteReference"/>
          <w:rFonts w:asciiTheme="majorHAnsi" w:hAnsiTheme="majorHAnsi" w:cstheme="majorHAnsi"/>
          <w:sz w:val="20"/>
        </w:rPr>
        <w:footnoteRef/>
      </w:r>
      <w:r w:rsidRPr="006D1898">
        <w:rPr>
          <w:rFonts w:asciiTheme="majorHAnsi" w:hAnsiTheme="majorHAnsi" w:cstheme="majorHAnsi"/>
          <w:sz w:val="20"/>
        </w:rPr>
        <w:t xml:space="preserve"> </w:t>
      </w:r>
      <w:r>
        <w:rPr>
          <w:rFonts w:asciiTheme="majorHAnsi" w:hAnsiTheme="majorHAnsi" w:cstheme="majorHAnsi"/>
          <w:sz w:val="20"/>
        </w:rPr>
        <w:t>This section is e</w:t>
      </w:r>
      <w:r w:rsidRPr="006D1898">
        <w:rPr>
          <w:rFonts w:asciiTheme="majorHAnsi" w:hAnsiTheme="majorHAnsi" w:cstheme="majorHAnsi"/>
          <w:sz w:val="20"/>
        </w:rPr>
        <w:t xml:space="preserve">xtracted from People with Disability Australia (2014), </w:t>
      </w:r>
      <w:r w:rsidRPr="006D1898">
        <w:rPr>
          <w:rFonts w:asciiTheme="majorHAnsi" w:hAnsiTheme="majorHAnsi" w:cstheme="majorHAnsi"/>
          <w:i/>
          <w:sz w:val="20"/>
        </w:rPr>
        <w:t>Consideration of the 4th and 5th Reports of Australia by the Committee to the Convention Against Torture</w:t>
      </w:r>
      <w:r w:rsidRPr="006D1898">
        <w:rPr>
          <w:rFonts w:asciiTheme="majorHAnsi" w:hAnsiTheme="majorHAnsi" w:cstheme="majorHAnsi"/>
          <w:sz w:val="20"/>
        </w:rPr>
        <w:t xml:space="preserve"> at </w:t>
      </w:r>
      <w:hyperlink r:id="rId24" w:history="1">
        <w:r w:rsidRPr="006D1898">
          <w:rPr>
            <w:rStyle w:val="Hyperlink"/>
            <w:rFonts w:asciiTheme="majorHAnsi" w:hAnsiTheme="majorHAnsi" w:cstheme="majorHAnsi"/>
            <w:sz w:val="20"/>
          </w:rPr>
          <w:t>http://www.pwd.org.au/documents/pubs/SB14-UNCAT.doc</w:t>
        </w:r>
      </w:hyperlink>
      <w:r w:rsidRPr="006D1898">
        <w:rPr>
          <w:rStyle w:val="Hyperlink"/>
          <w:rFonts w:asciiTheme="majorHAnsi" w:hAnsiTheme="majorHAnsi" w:cstheme="majorHAnsi"/>
          <w:sz w:val="20"/>
        </w:rPr>
        <w:t xml:space="preserve"> </w:t>
      </w:r>
      <w:r w:rsidRPr="006D1898">
        <w:rPr>
          <w:rStyle w:val="Hyperlink"/>
          <w:rFonts w:asciiTheme="majorHAnsi" w:hAnsiTheme="majorHAnsi" w:cstheme="majorHAnsi"/>
          <w:color w:val="auto"/>
          <w:sz w:val="20"/>
        </w:rPr>
        <w:t>pp.40-41</w:t>
      </w:r>
    </w:p>
  </w:footnote>
  <w:footnote w:id="66">
    <w:p w:rsidR="00DD224E" w:rsidRPr="00E73A7D" w:rsidRDefault="00DD224E" w:rsidP="001C1253">
      <w:pPr>
        <w:pStyle w:val="NoSpacing"/>
        <w:rPr>
          <w:rFonts w:asciiTheme="majorHAnsi" w:hAnsiTheme="majorHAnsi" w:cstheme="majorHAnsi"/>
          <w:sz w:val="20"/>
        </w:rPr>
      </w:pPr>
      <w:r w:rsidRPr="00E73A7D">
        <w:rPr>
          <w:rStyle w:val="FootnoteReference"/>
          <w:rFonts w:asciiTheme="majorHAnsi" w:hAnsiTheme="majorHAnsi" w:cstheme="majorHAnsi"/>
          <w:sz w:val="20"/>
        </w:rPr>
        <w:footnoteRef/>
      </w:r>
      <w:r w:rsidRPr="00E73A7D">
        <w:rPr>
          <w:rFonts w:asciiTheme="majorHAnsi" w:hAnsiTheme="majorHAnsi" w:cstheme="majorHAnsi"/>
          <w:sz w:val="20"/>
        </w:rPr>
        <w:t xml:space="preserve"> Kathy </w:t>
      </w:r>
      <w:proofErr w:type="spellStart"/>
      <w:r w:rsidRPr="00E73A7D">
        <w:rPr>
          <w:rFonts w:asciiTheme="majorHAnsi" w:hAnsiTheme="majorHAnsi" w:cstheme="majorHAnsi"/>
          <w:sz w:val="20"/>
        </w:rPr>
        <w:t>Ellem</w:t>
      </w:r>
      <w:proofErr w:type="spellEnd"/>
      <w:r w:rsidRPr="00E73A7D">
        <w:rPr>
          <w:rFonts w:asciiTheme="majorHAnsi" w:hAnsiTheme="majorHAnsi" w:cstheme="majorHAnsi"/>
          <w:sz w:val="20"/>
        </w:rPr>
        <w:t xml:space="preserve">, ‘The Impact of Imprisonment for People </w:t>
      </w:r>
      <w:proofErr w:type="spellStart"/>
      <w:r w:rsidRPr="00E73A7D">
        <w:rPr>
          <w:rFonts w:asciiTheme="majorHAnsi" w:hAnsiTheme="majorHAnsi" w:cstheme="majorHAnsi"/>
          <w:sz w:val="20"/>
        </w:rPr>
        <w:t>Labelled</w:t>
      </w:r>
      <w:proofErr w:type="spellEnd"/>
      <w:r w:rsidRPr="00E73A7D">
        <w:rPr>
          <w:rFonts w:asciiTheme="majorHAnsi" w:hAnsiTheme="majorHAnsi" w:cstheme="majorHAnsi"/>
          <w:sz w:val="20"/>
        </w:rPr>
        <w:t xml:space="preserve"> as Having an Intellectual Disability: A Qualitative Life Story Approach in the Queensland Context’ (PhD Research Proposal, School of Social Work and Applied Human Sciences, The University of Queensland, undated) </w:t>
      </w:r>
    </w:p>
    <w:p w:rsidR="00DD224E" w:rsidRPr="00E73A7D" w:rsidRDefault="00DD224E" w:rsidP="001C1253">
      <w:pPr>
        <w:pStyle w:val="NoSpacing"/>
        <w:rPr>
          <w:rFonts w:asciiTheme="majorHAnsi" w:hAnsiTheme="majorHAnsi" w:cstheme="majorHAnsi"/>
          <w:sz w:val="20"/>
        </w:rPr>
      </w:pPr>
      <w:r w:rsidRPr="00E73A7D">
        <w:rPr>
          <w:rFonts w:asciiTheme="majorHAnsi" w:hAnsiTheme="majorHAnsi" w:cstheme="majorHAnsi"/>
          <w:sz w:val="20"/>
        </w:rPr>
        <w:t>&lt;</w:t>
      </w:r>
      <w:hyperlink r:id="rId25" w:history="1">
        <w:r w:rsidRPr="00E73A7D">
          <w:rPr>
            <w:rStyle w:val="Hyperlink"/>
            <w:rFonts w:asciiTheme="majorHAnsi" w:eastAsiaTheme="majorEastAsia" w:hAnsiTheme="majorHAnsi" w:cstheme="majorHAnsi"/>
            <w:sz w:val="20"/>
          </w:rPr>
          <w:t>www.sistersinside.com.au/media/ResearchProposal15KathyEllem.pdf</w:t>
        </w:r>
      </w:hyperlink>
      <w:r w:rsidRPr="00E73A7D">
        <w:rPr>
          <w:rFonts w:asciiTheme="majorHAnsi" w:hAnsiTheme="majorHAnsi" w:cstheme="majorHAnsi"/>
          <w:sz w:val="20"/>
        </w:rPr>
        <w:t>&gt;.</w:t>
      </w:r>
    </w:p>
  </w:footnote>
  <w:footnote w:id="67">
    <w:p w:rsidR="00DD224E" w:rsidRPr="00E73A7D" w:rsidRDefault="00DD224E" w:rsidP="001C1253">
      <w:pPr>
        <w:pStyle w:val="NoSpacing"/>
        <w:rPr>
          <w:rFonts w:asciiTheme="majorHAnsi" w:hAnsiTheme="majorHAnsi" w:cstheme="majorHAnsi"/>
          <w:sz w:val="20"/>
        </w:rPr>
      </w:pPr>
      <w:r w:rsidRPr="00E73A7D">
        <w:rPr>
          <w:rStyle w:val="FootnoteReference"/>
          <w:rFonts w:asciiTheme="majorHAnsi" w:hAnsiTheme="majorHAnsi" w:cstheme="majorHAnsi"/>
          <w:color w:val="auto"/>
          <w:sz w:val="20"/>
        </w:rPr>
        <w:footnoteRef/>
      </w:r>
      <w:r w:rsidRPr="00E73A7D">
        <w:rPr>
          <w:rFonts w:asciiTheme="majorHAnsi" w:hAnsiTheme="majorHAnsi" w:cstheme="majorHAnsi"/>
          <w:sz w:val="20"/>
        </w:rPr>
        <w:t xml:space="preserve"> </w:t>
      </w:r>
      <w:proofErr w:type="spellStart"/>
      <w:r w:rsidRPr="00E73A7D">
        <w:rPr>
          <w:rFonts w:asciiTheme="majorHAnsi" w:hAnsiTheme="majorHAnsi" w:cstheme="majorHAnsi"/>
          <w:sz w:val="20"/>
        </w:rPr>
        <w:t>Forensicare</w:t>
      </w:r>
      <w:proofErr w:type="spellEnd"/>
      <w:r w:rsidRPr="00E73A7D">
        <w:rPr>
          <w:rFonts w:asciiTheme="majorHAnsi" w:hAnsiTheme="majorHAnsi" w:cstheme="majorHAnsi"/>
          <w:sz w:val="20"/>
        </w:rPr>
        <w:t xml:space="preserve"> (Victorian Institute of Forensic Mental Health), Submission to the Senate Select Committee on Mental Health, ‘Forensic Mental Health — Working with Offenders with a Serious Mental Illness’, 2005, 20 &lt;</w:t>
      </w:r>
      <w:hyperlink r:id="rId26" w:history="1">
        <w:r w:rsidRPr="00E73A7D">
          <w:rPr>
            <w:rStyle w:val="Hyperlink"/>
            <w:rFonts w:asciiTheme="majorHAnsi" w:eastAsiaTheme="majorEastAsia" w:hAnsiTheme="majorHAnsi" w:cstheme="majorHAnsi"/>
            <w:sz w:val="20"/>
          </w:rPr>
          <w:t>www.aph.gov.au/senate/committee/mentalhealth_ctte/submissions/sub306.pdf</w:t>
        </w:r>
      </w:hyperlink>
      <w:r w:rsidRPr="00E73A7D">
        <w:rPr>
          <w:rFonts w:asciiTheme="majorHAnsi" w:hAnsiTheme="majorHAnsi" w:cstheme="majorHAnsi"/>
          <w:sz w:val="20"/>
        </w:rPr>
        <w:t>&gt;.</w:t>
      </w:r>
    </w:p>
  </w:footnote>
  <w:footnote w:id="68">
    <w:p w:rsidR="00DD224E" w:rsidRPr="00E73A7D" w:rsidRDefault="00DD224E" w:rsidP="001C1253">
      <w:pPr>
        <w:pStyle w:val="NoSpacing"/>
        <w:rPr>
          <w:rFonts w:asciiTheme="majorHAnsi" w:hAnsiTheme="majorHAnsi" w:cstheme="majorHAnsi"/>
          <w:sz w:val="20"/>
        </w:rPr>
      </w:pPr>
      <w:r w:rsidRPr="00E73A7D">
        <w:rPr>
          <w:rStyle w:val="FootnoteReference"/>
          <w:rFonts w:asciiTheme="majorHAnsi" w:hAnsiTheme="majorHAnsi" w:cstheme="majorHAnsi"/>
          <w:color w:val="auto"/>
          <w:sz w:val="20"/>
        </w:rPr>
        <w:footnoteRef/>
      </w:r>
      <w:r w:rsidRPr="00E73A7D">
        <w:rPr>
          <w:rFonts w:asciiTheme="majorHAnsi" w:hAnsiTheme="majorHAnsi" w:cstheme="majorHAnsi"/>
          <w:sz w:val="20"/>
        </w:rPr>
        <w:t xml:space="preserve"> Ibid 20–1.</w:t>
      </w:r>
    </w:p>
  </w:footnote>
  <w:footnote w:id="69">
    <w:p w:rsidR="00DD224E" w:rsidRPr="00E73A7D" w:rsidRDefault="00DD224E" w:rsidP="001C1253">
      <w:pPr>
        <w:pStyle w:val="NoSpacing"/>
        <w:rPr>
          <w:rFonts w:asciiTheme="majorHAnsi" w:hAnsiTheme="majorHAnsi" w:cstheme="majorHAnsi"/>
          <w:sz w:val="20"/>
        </w:rPr>
      </w:pPr>
      <w:r w:rsidRPr="00E73A7D">
        <w:rPr>
          <w:rStyle w:val="FootnoteReference"/>
          <w:rFonts w:asciiTheme="majorHAnsi" w:hAnsiTheme="majorHAnsi" w:cstheme="majorHAnsi"/>
          <w:color w:val="auto"/>
          <w:sz w:val="20"/>
        </w:rPr>
        <w:footnoteRef/>
      </w:r>
      <w:r w:rsidRPr="00E73A7D">
        <w:rPr>
          <w:rFonts w:asciiTheme="majorHAnsi" w:hAnsiTheme="majorHAnsi" w:cstheme="majorHAnsi"/>
          <w:sz w:val="20"/>
        </w:rPr>
        <w:t xml:space="preserve"> Ibid 19.</w:t>
      </w:r>
    </w:p>
  </w:footnote>
  <w:footnote w:id="70">
    <w:p w:rsidR="00DD224E" w:rsidRPr="00E73A7D" w:rsidRDefault="00DD224E" w:rsidP="001C1253">
      <w:pPr>
        <w:pStyle w:val="NoSpacing"/>
        <w:rPr>
          <w:rFonts w:asciiTheme="majorHAnsi" w:hAnsiTheme="majorHAnsi" w:cstheme="majorHAnsi"/>
          <w:sz w:val="20"/>
        </w:rPr>
      </w:pPr>
      <w:r w:rsidRPr="00E73A7D">
        <w:rPr>
          <w:rStyle w:val="FootnoteReference"/>
          <w:rFonts w:asciiTheme="majorHAnsi" w:hAnsiTheme="majorHAnsi" w:cstheme="majorHAnsi"/>
          <w:color w:val="auto"/>
          <w:sz w:val="20"/>
        </w:rPr>
        <w:footnoteRef/>
      </w:r>
      <w:r w:rsidRPr="00E73A7D">
        <w:rPr>
          <w:rFonts w:asciiTheme="majorHAnsi" w:hAnsiTheme="majorHAnsi" w:cstheme="majorHAnsi"/>
          <w:sz w:val="20"/>
        </w:rPr>
        <w:t xml:space="preserve"> The </w:t>
      </w:r>
      <w:proofErr w:type="spellStart"/>
      <w:r w:rsidRPr="00E73A7D">
        <w:rPr>
          <w:rFonts w:asciiTheme="majorHAnsi" w:hAnsiTheme="majorHAnsi" w:cstheme="majorHAnsi"/>
          <w:sz w:val="20"/>
        </w:rPr>
        <w:t>Shopfront</w:t>
      </w:r>
      <w:proofErr w:type="spellEnd"/>
      <w:r w:rsidRPr="00E73A7D">
        <w:rPr>
          <w:rFonts w:asciiTheme="majorHAnsi" w:hAnsiTheme="majorHAnsi" w:cstheme="majorHAnsi"/>
          <w:sz w:val="20"/>
        </w:rPr>
        <w:t xml:space="preserve"> Youth Legal Centre, Submission: ‘Sexual Assault of Young Men in Prison Project’, </w:t>
      </w:r>
      <w:r w:rsidRPr="00E73A7D">
        <w:rPr>
          <w:rFonts w:asciiTheme="majorHAnsi" w:hAnsiTheme="majorHAnsi" w:cstheme="majorHAnsi"/>
          <w:i/>
          <w:sz w:val="20"/>
        </w:rPr>
        <w:t>National Human Rights Consultation</w:t>
      </w:r>
      <w:r w:rsidRPr="00E73A7D">
        <w:rPr>
          <w:rFonts w:asciiTheme="majorHAnsi" w:hAnsiTheme="majorHAnsi" w:cstheme="majorHAnsi"/>
          <w:sz w:val="20"/>
        </w:rPr>
        <w:t>, 15 June 2009, 4 &lt;</w:t>
      </w:r>
      <w:hyperlink r:id="rId27" w:history="1">
        <w:r w:rsidRPr="00E73A7D">
          <w:rPr>
            <w:rStyle w:val="Hyperlink"/>
            <w:rFonts w:asciiTheme="majorHAnsi" w:eastAsiaTheme="majorEastAsia" w:hAnsiTheme="majorHAnsi" w:cstheme="majorHAnsi"/>
            <w:sz w:val="20"/>
          </w:rPr>
          <w:t>www.humanrightsconsultation.gov.au/www/nhrcc/</w:t>
        </w:r>
        <w:r w:rsidRPr="00E73A7D">
          <w:rPr>
            <w:rStyle w:val="Hyperlink"/>
            <w:rFonts w:asciiTheme="majorHAnsi" w:eastAsiaTheme="majorEastAsia" w:hAnsiTheme="majorHAnsi" w:cstheme="majorHAnsi"/>
            <w:sz w:val="20"/>
          </w:rPr>
          <w:br/>
          <w:t>submissions.nsf/list/DB51D48972D82AFBCA25761500277B6A/$file/Jane%20Sanders_AGWW-7T26DXAGWW-7T26DX.pdf</w:t>
        </w:r>
      </w:hyperlink>
      <w:r w:rsidRPr="00E73A7D">
        <w:rPr>
          <w:rFonts w:asciiTheme="majorHAnsi" w:hAnsiTheme="majorHAnsi" w:cstheme="majorHAnsi"/>
          <w:sz w:val="20"/>
        </w:rPr>
        <w:t>&gt;.</w:t>
      </w:r>
    </w:p>
  </w:footnote>
  <w:footnote w:id="71">
    <w:p w:rsidR="00DD224E" w:rsidRPr="00E73A7D" w:rsidRDefault="00DD224E" w:rsidP="001C1253">
      <w:pPr>
        <w:pStyle w:val="NoSpacing"/>
        <w:rPr>
          <w:rFonts w:asciiTheme="majorHAnsi" w:hAnsiTheme="majorHAnsi" w:cstheme="majorHAnsi"/>
          <w:sz w:val="20"/>
        </w:rPr>
      </w:pPr>
      <w:r w:rsidRPr="00E73A7D">
        <w:rPr>
          <w:rStyle w:val="FootnoteReference"/>
          <w:rFonts w:asciiTheme="majorHAnsi" w:hAnsiTheme="majorHAnsi" w:cstheme="majorHAnsi"/>
          <w:color w:val="auto"/>
          <w:sz w:val="20"/>
        </w:rPr>
        <w:footnoteRef/>
      </w:r>
      <w:r w:rsidRPr="00E73A7D">
        <w:rPr>
          <w:rFonts w:asciiTheme="majorHAnsi" w:hAnsiTheme="majorHAnsi" w:cstheme="majorHAnsi"/>
          <w:sz w:val="20"/>
        </w:rPr>
        <w:t xml:space="preserve"> Ibid 3.</w:t>
      </w:r>
    </w:p>
  </w:footnote>
  <w:footnote w:id="72">
    <w:p w:rsidR="00DD224E" w:rsidRPr="00B16808" w:rsidRDefault="00DD224E" w:rsidP="00B16808">
      <w:pPr>
        <w:pStyle w:val="NoSpacing"/>
        <w:rPr>
          <w:rFonts w:asciiTheme="majorHAnsi" w:hAnsiTheme="majorHAnsi" w:cstheme="majorHAnsi"/>
          <w:sz w:val="20"/>
        </w:rPr>
      </w:pPr>
      <w:r w:rsidRPr="00B16808">
        <w:rPr>
          <w:rStyle w:val="FootnoteReference"/>
          <w:rFonts w:asciiTheme="majorHAnsi" w:hAnsiTheme="majorHAnsi" w:cstheme="majorHAnsi"/>
          <w:color w:val="auto"/>
          <w:sz w:val="20"/>
        </w:rPr>
        <w:footnoteRef/>
      </w:r>
      <w:r w:rsidRPr="00B16808">
        <w:rPr>
          <w:rFonts w:asciiTheme="majorHAnsi" w:hAnsiTheme="majorHAnsi" w:cstheme="majorHAnsi"/>
          <w:sz w:val="20"/>
        </w:rPr>
        <w:t xml:space="preserve"> Ibid.</w:t>
      </w:r>
    </w:p>
  </w:footnote>
  <w:footnote w:id="73">
    <w:p w:rsidR="00DD224E" w:rsidRPr="00B16808" w:rsidRDefault="00DD224E" w:rsidP="00B16808">
      <w:pPr>
        <w:pStyle w:val="NoSpacing"/>
        <w:rPr>
          <w:rFonts w:asciiTheme="majorHAnsi" w:hAnsiTheme="majorHAnsi" w:cstheme="majorHAnsi"/>
          <w:sz w:val="20"/>
        </w:rPr>
      </w:pPr>
      <w:r w:rsidRPr="00B16808">
        <w:rPr>
          <w:rStyle w:val="FootnoteReference"/>
          <w:rFonts w:asciiTheme="majorHAnsi" w:hAnsiTheme="majorHAnsi" w:cstheme="majorHAnsi"/>
          <w:sz w:val="20"/>
        </w:rPr>
        <w:footnoteRef/>
      </w:r>
      <w:r w:rsidRPr="00B16808">
        <w:rPr>
          <w:rFonts w:asciiTheme="majorHAnsi" w:hAnsiTheme="majorHAnsi" w:cstheme="majorHAnsi"/>
          <w:sz w:val="20"/>
        </w:rPr>
        <w:t xml:space="preserve"> Aboriginal Disability Justice Campaign, </w:t>
      </w:r>
      <w:r w:rsidRPr="00B16808">
        <w:rPr>
          <w:rFonts w:asciiTheme="majorHAnsi" w:hAnsiTheme="majorHAnsi" w:cstheme="majorHAnsi"/>
          <w:i/>
          <w:sz w:val="20"/>
        </w:rPr>
        <w:t>‘Position Statement on the Inappropriate Incarceration of Aboriginal People with Cognitive Impairment’,</w:t>
      </w:r>
      <w:r w:rsidRPr="00B16808">
        <w:rPr>
          <w:rFonts w:asciiTheme="majorHAnsi" w:hAnsiTheme="majorHAnsi" w:cstheme="majorHAnsi"/>
          <w:sz w:val="20"/>
        </w:rPr>
        <w:t xml:space="preserve"> (Position Paper, People with Disability Australia, October 2008), </w:t>
      </w:r>
      <w:hyperlink r:id="rId28" w:history="1">
        <w:r w:rsidRPr="00B16808">
          <w:rPr>
            <w:rStyle w:val="Hyperlink"/>
            <w:rFonts w:asciiTheme="majorHAnsi" w:hAnsiTheme="majorHAnsi" w:cstheme="majorHAnsi"/>
            <w:sz w:val="20"/>
          </w:rPr>
          <w:t>www.pwd.org.au/systemic/adjc.html</w:t>
        </w:r>
      </w:hyperlink>
      <w:r w:rsidRPr="00B16808">
        <w:rPr>
          <w:rFonts w:asciiTheme="majorHAnsi" w:hAnsiTheme="majorHAnsi" w:cstheme="majorHAnsi"/>
          <w:sz w:val="20"/>
        </w:rPr>
        <w:t xml:space="preserve"> </w:t>
      </w:r>
    </w:p>
  </w:footnote>
  <w:footnote w:id="74">
    <w:p w:rsidR="00DD224E" w:rsidRPr="00B16808" w:rsidRDefault="00DD224E" w:rsidP="00B16808">
      <w:pPr>
        <w:pStyle w:val="NoSpacing"/>
        <w:rPr>
          <w:rFonts w:asciiTheme="majorHAnsi" w:hAnsiTheme="majorHAnsi" w:cstheme="majorHAnsi"/>
          <w:sz w:val="20"/>
        </w:rPr>
      </w:pPr>
      <w:r w:rsidRPr="00B16808">
        <w:rPr>
          <w:rStyle w:val="FootnoteReference"/>
          <w:rFonts w:asciiTheme="majorHAnsi" w:hAnsiTheme="majorHAnsi" w:cstheme="majorHAnsi"/>
          <w:sz w:val="20"/>
        </w:rPr>
        <w:footnoteRef/>
      </w:r>
      <w:r w:rsidRPr="00B16808">
        <w:rPr>
          <w:rFonts w:asciiTheme="majorHAnsi" w:hAnsiTheme="majorHAnsi" w:cstheme="majorHAnsi"/>
          <w:sz w:val="20"/>
        </w:rPr>
        <w:t xml:space="preserve"> Aboriginal Woman’s Jailing Highlights Plight of Intellectually Disabled Aboriginal Offenders, John Stewart, 13 March 2014, </w:t>
      </w:r>
      <w:hyperlink r:id="rId29" w:history="1">
        <w:r w:rsidRPr="00B16808">
          <w:rPr>
            <w:rStyle w:val="Hyperlink"/>
            <w:rFonts w:asciiTheme="majorHAnsi" w:hAnsiTheme="majorHAnsi" w:cstheme="majorHAnsi"/>
            <w:sz w:val="20"/>
          </w:rPr>
          <w:t>http://www.abc.net.au/news/2014-03-12/intellectually-disabled%C2%A0aboriginal-people-stuck-in-legal-limbo/5316892</w:t>
        </w:r>
      </w:hyperlink>
      <w:r w:rsidRPr="00B16808">
        <w:rPr>
          <w:rFonts w:asciiTheme="majorHAnsi" w:hAnsiTheme="majorHAnsi" w:cstheme="majorHAnsi"/>
          <w:sz w:val="20"/>
        </w:rPr>
        <w:t xml:space="preserve"> </w:t>
      </w:r>
    </w:p>
  </w:footnote>
  <w:footnote w:id="75">
    <w:p w:rsidR="00DD224E" w:rsidRPr="006649F9" w:rsidRDefault="00DD224E" w:rsidP="00B16808">
      <w:pPr>
        <w:pStyle w:val="NoSpacing"/>
        <w:rPr>
          <w:rFonts w:asciiTheme="minorHAnsi" w:hAnsiTheme="minorHAnsi" w:cs="Arial"/>
          <w:sz w:val="20"/>
        </w:rPr>
      </w:pPr>
      <w:r w:rsidRPr="00B16808">
        <w:rPr>
          <w:rStyle w:val="FootnoteReference"/>
          <w:rFonts w:asciiTheme="majorHAnsi" w:hAnsiTheme="majorHAnsi" w:cstheme="majorHAnsi"/>
          <w:sz w:val="20"/>
        </w:rPr>
        <w:footnoteRef/>
      </w:r>
      <w:r w:rsidRPr="00B16808">
        <w:rPr>
          <w:rFonts w:asciiTheme="majorHAnsi" w:hAnsiTheme="majorHAnsi" w:cstheme="majorHAnsi"/>
          <w:sz w:val="20"/>
        </w:rPr>
        <w:t xml:space="preserve"> Sisters Inside, Submission: ‘Rights of Women Prisoners’, </w:t>
      </w:r>
      <w:r w:rsidRPr="00B16808">
        <w:rPr>
          <w:rFonts w:asciiTheme="majorHAnsi" w:hAnsiTheme="majorHAnsi" w:cstheme="majorHAnsi"/>
          <w:i/>
          <w:sz w:val="20"/>
        </w:rPr>
        <w:t>National Human Rights Consultation</w:t>
      </w:r>
      <w:r w:rsidRPr="00B16808">
        <w:rPr>
          <w:rFonts w:asciiTheme="majorHAnsi" w:hAnsiTheme="majorHAnsi" w:cstheme="majorHAnsi"/>
          <w:sz w:val="20"/>
        </w:rPr>
        <w:t>, June 2009 &lt;</w:t>
      </w:r>
      <w:hyperlink r:id="rId30" w:history="1">
        <w:r w:rsidRPr="00B16808">
          <w:rPr>
            <w:rStyle w:val="Hyperlink"/>
            <w:rFonts w:asciiTheme="majorHAnsi" w:eastAsiaTheme="majorEastAsia" w:hAnsiTheme="majorHAnsi" w:cstheme="majorHAnsi"/>
            <w:sz w:val="20"/>
          </w:rPr>
          <w:t>www.sistersinside.com.au/media/FINAL%20-%20National%20HR%20Submission%20June%202009.pdf</w:t>
        </w:r>
      </w:hyperlink>
      <w:r w:rsidRPr="00B16808">
        <w:rPr>
          <w:rFonts w:asciiTheme="majorHAnsi" w:hAnsiTheme="majorHAnsi" w:cstheme="majorHAnsi"/>
          <w:sz w:val="20"/>
        </w:rPr>
        <w:t>&gt;.</w:t>
      </w:r>
    </w:p>
  </w:footnote>
  <w:footnote w:id="76">
    <w:p w:rsidR="00DD224E" w:rsidRPr="0040073F" w:rsidRDefault="00DD224E" w:rsidP="00464170">
      <w:pPr>
        <w:pStyle w:val="NoSpacing"/>
        <w:rPr>
          <w:rFonts w:asciiTheme="majorHAnsi" w:hAnsiTheme="majorHAnsi" w:cstheme="majorHAnsi"/>
          <w:sz w:val="20"/>
        </w:rPr>
      </w:pPr>
      <w:r w:rsidRPr="007F11F0">
        <w:rPr>
          <w:rStyle w:val="FootnoteReference"/>
          <w:rFonts w:asciiTheme="majorHAnsi" w:hAnsiTheme="majorHAnsi" w:cstheme="majorHAnsi"/>
          <w:sz w:val="20"/>
        </w:rPr>
        <w:footnoteRef/>
      </w:r>
      <w:r w:rsidRPr="0040073F">
        <w:rPr>
          <w:rFonts w:asciiTheme="majorHAnsi" w:hAnsiTheme="majorHAnsi" w:cstheme="majorHAnsi"/>
          <w:sz w:val="20"/>
          <w:u w:color="BC2504"/>
        </w:rPr>
        <w:t xml:space="preserve">Australian Law Reform Commission, </w:t>
      </w:r>
      <w:r w:rsidRPr="0040073F">
        <w:rPr>
          <w:rFonts w:asciiTheme="majorHAnsi" w:hAnsiTheme="majorHAnsi" w:cstheme="majorHAnsi"/>
          <w:i/>
          <w:sz w:val="20"/>
        </w:rPr>
        <w:t>Equality, Capacity and Disability in Commonwealth Laws</w:t>
      </w:r>
      <w:r w:rsidRPr="0040073F">
        <w:rPr>
          <w:rFonts w:asciiTheme="majorHAnsi" w:hAnsiTheme="majorHAnsi" w:cstheme="majorHAnsi"/>
          <w:sz w:val="20"/>
        </w:rPr>
        <w:t>,</w:t>
      </w:r>
      <w:r w:rsidRPr="0040073F">
        <w:rPr>
          <w:rFonts w:asciiTheme="majorHAnsi" w:hAnsiTheme="majorHAnsi" w:cstheme="majorHAnsi"/>
          <w:i/>
          <w:sz w:val="20"/>
        </w:rPr>
        <w:t xml:space="preserve"> </w:t>
      </w:r>
      <w:r w:rsidRPr="0040073F">
        <w:rPr>
          <w:rFonts w:asciiTheme="majorHAnsi" w:hAnsiTheme="majorHAnsi" w:cstheme="majorHAnsi"/>
          <w:sz w:val="20"/>
        </w:rPr>
        <w:t>ALRC Report 124, (2014).</w:t>
      </w:r>
    </w:p>
    <w:p w:rsidR="00DD224E" w:rsidRPr="007F11F0" w:rsidRDefault="00DD224E" w:rsidP="001C1253">
      <w:pPr>
        <w:pStyle w:val="NoSpacing"/>
        <w:rPr>
          <w:rFonts w:asciiTheme="majorHAnsi" w:hAnsiTheme="majorHAnsi" w:cstheme="majorHAnsi"/>
          <w:sz w:val="20"/>
        </w:rPr>
      </w:pPr>
      <w:r w:rsidRPr="007F11F0">
        <w:rPr>
          <w:rFonts w:asciiTheme="majorHAnsi" w:hAnsiTheme="majorHAnsi" w:cstheme="majorHAnsi"/>
          <w:sz w:val="20"/>
        </w:rPr>
        <w:t xml:space="preserve"> </w:t>
      </w:r>
      <w:hyperlink r:id="rId31" w:history="1">
        <w:r w:rsidRPr="007F11F0">
          <w:rPr>
            <w:rStyle w:val="Hyperlink"/>
            <w:rFonts w:asciiTheme="majorHAnsi" w:hAnsiTheme="majorHAnsi" w:cstheme="majorHAnsi"/>
            <w:sz w:val="20"/>
          </w:rPr>
          <w:t>https://www.alrc.gov.au/publications/equality-capacity-disability-report-124</w:t>
        </w:r>
      </w:hyperlink>
      <w:r w:rsidRPr="007F11F0">
        <w:rPr>
          <w:rFonts w:asciiTheme="majorHAnsi" w:hAnsiTheme="majorHAnsi" w:cstheme="majorHAnsi"/>
          <w:sz w:val="20"/>
        </w:rPr>
        <w:t xml:space="preserve"> </w:t>
      </w:r>
    </w:p>
  </w:footnote>
  <w:footnote w:id="77">
    <w:p w:rsidR="00DD224E" w:rsidRPr="000B118F" w:rsidRDefault="00DD224E" w:rsidP="001C1253">
      <w:pPr>
        <w:pStyle w:val="NoSpacing"/>
        <w:rPr>
          <w:rFonts w:asciiTheme="majorHAnsi" w:hAnsiTheme="majorHAnsi" w:cstheme="majorHAnsi"/>
          <w:sz w:val="20"/>
        </w:rPr>
      </w:pPr>
      <w:r w:rsidRPr="000B118F">
        <w:rPr>
          <w:rStyle w:val="FootnoteReference"/>
          <w:rFonts w:asciiTheme="majorHAnsi" w:hAnsiTheme="majorHAnsi" w:cstheme="majorHAnsi"/>
          <w:sz w:val="20"/>
        </w:rPr>
        <w:footnoteRef/>
      </w:r>
      <w:r w:rsidRPr="000B118F">
        <w:rPr>
          <w:rFonts w:asciiTheme="majorHAnsi" w:hAnsiTheme="majorHAnsi" w:cstheme="majorHAnsi"/>
          <w:sz w:val="20"/>
        </w:rPr>
        <w:t xml:space="preserve"> By virtue of Article 5 and 12 of the CRPD.</w:t>
      </w:r>
    </w:p>
  </w:footnote>
  <w:footnote w:id="78">
    <w:p w:rsidR="00DD224E" w:rsidRPr="000B118F" w:rsidRDefault="00DD224E" w:rsidP="001C1253">
      <w:pPr>
        <w:pStyle w:val="NoSpacing"/>
        <w:rPr>
          <w:rFonts w:asciiTheme="majorHAnsi" w:hAnsiTheme="majorHAnsi" w:cstheme="majorHAnsi"/>
          <w:sz w:val="20"/>
        </w:rPr>
      </w:pPr>
      <w:r w:rsidRPr="000B118F">
        <w:rPr>
          <w:rStyle w:val="FootnoteReference"/>
          <w:rFonts w:asciiTheme="majorHAnsi" w:hAnsiTheme="majorHAnsi" w:cstheme="majorHAnsi"/>
          <w:sz w:val="20"/>
        </w:rPr>
        <w:footnoteRef/>
      </w:r>
      <w:r w:rsidRPr="000B118F">
        <w:rPr>
          <w:rFonts w:asciiTheme="majorHAnsi" w:hAnsiTheme="majorHAnsi" w:cstheme="majorHAnsi"/>
          <w:sz w:val="20"/>
        </w:rPr>
        <w:t xml:space="preserve"> PWDA, Australian Centre for Disability Law, Australian Human Rights Centre (July 2014), Submission to the Australian Law Reform Commission Discussion Paper, Equality, Capacity and Disability in Commonwealth Laws,  </w:t>
      </w:r>
      <w:hyperlink r:id="rId32" w:history="1">
        <w:r w:rsidRPr="000B118F">
          <w:rPr>
            <w:rStyle w:val="Hyperlink"/>
            <w:rFonts w:asciiTheme="majorHAnsi" w:hAnsiTheme="majorHAnsi" w:cstheme="majorHAnsi"/>
            <w:sz w:val="20"/>
          </w:rPr>
          <w:t>http://www.pwd.org.au/documents/pubs/SB14-ALRC-Submission-PWDA-ACDL-AHRCentre.doc</w:t>
        </w:r>
      </w:hyperlink>
      <w:r w:rsidRPr="000B118F">
        <w:rPr>
          <w:rFonts w:asciiTheme="majorHAnsi" w:hAnsiTheme="majorHAnsi" w:cstheme="majorHAnsi"/>
          <w:sz w:val="20"/>
        </w:rPr>
        <w:t xml:space="preserve"> </w:t>
      </w:r>
    </w:p>
  </w:footnote>
  <w:footnote w:id="79">
    <w:p w:rsidR="00DD224E" w:rsidRPr="006649F9" w:rsidRDefault="00DD224E" w:rsidP="001C1253">
      <w:pPr>
        <w:pStyle w:val="NoSpacing"/>
        <w:rPr>
          <w:rFonts w:asciiTheme="minorHAnsi" w:hAnsiTheme="minorHAnsi"/>
          <w:sz w:val="20"/>
        </w:rPr>
      </w:pPr>
      <w:r w:rsidRPr="000B118F">
        <w:rPr>
          <w:rStyle w:val="FootnoteReference"/>
          <w:rFonts w:asciiTheme="majorHAnsi" w:hAnsiTheme="majorHAnsi" w:cstheme="majorHAnsi"/>
          <w:sz w:val="20"/>
        </w:rPr>
        <w:footnoteRef/>
      </w:r>
      <w:r w:rsidRPr="000B118F">
        <w:rPr>
          <w:rFonts w:asciiTheme="majorHAnsi" w:hAnsiTheme="majorHAnsi" w:cstheme="majorHAnsi"/>
          <w:sz w:val="20"/>
        </w:rPr>
        <w:t xml:space="preserve"> PWDA, National Association of Community Legal </w:t>
      </w:r>
      <w:proofErr w:type="spellStart"/>
      <w:r w:rsidRPr="000B118F">
        <w:rPr>
          <w:rFonts w:asciiTheme="majorHAnsi" w:hAnsiTheme="majorHAnsi" w:cstheme="majorHAnsi"/>
          <w:sz w:val="20"/>
        </w:rPr>
        <w:t>Centres</w:t>
      </w:r>
      <w:proofErr w:type="spellEnd"/>
      <w:r w:rsidRPr="000B118F">
        <w:rPr>
          <w:rFonts w:asciiTheme="majorHAnsi" w:hAnsiTheme="majorHAnsi" w:cstheme="majorHAnsi"/>
          <w:sz w:val="20"/>
        </w:rPr>
        <w:t xml:space="preserve"> (July 2014), Submission to the Australian Law Reform Commission Discussion Paper, Equality, Capacity and Disability in Commonwealth Laws,   </w:t>
      </w:r>
      <w:hyperlink r:id="rId33" w:history="1">
        <w:r w:rsidRPr="000B118F">
          <w:rPr>
            <w:rStyle w:val="Hyperlink"/>
            <w:rFonts w:asciiTheme="majorHAnsi" w:hAnsiTheme="majorHAnsi" w:cstheme="majorHAnsi"/>
            <w:sz w:val="20"/>
          </w:rPr>
          <w:t>http://www.pwd.org.au/documents/pubs/SB14-ALRC-Submission-PWDA-NACLC.doc</w:t>
        </w:r>
      </w:hyperlink>
    </w:p>
  </w:footnote>
  <w:footnote w:id="80">
    <w:p w:rsidR="00DD224E" w:rsidRPr="00CE47EE" w:rsidRDefault="00DD224E" w:rsidP="001C1253">
      <w:pPr>
        <w:pStyle w:val="NoSpacing"/>
        <w:rPr>
          <w:rFonts w:asciiTheme="majorHAnsi" w:hAnsiTheme="majorHAnsi" w:cstheme="majorHAnsi"/>
          <w:sz w:val="20"/>
        </w:rPr>
      </w:pPr>
      <w:r w:rsidRPr="00CE47EE">
        <w:rPr>
          <w:rStyle w:val="FootnoteReference"/>
          <w:rFonts w:asciiTheme="majorHAnsi" w:hAnsiTheme="majorHAnsi" w:cstheme="majorHAnsi"/>
          <w:sz w:val="20"/>
        </w:rPr>
        <w:footnoteRef/>
      </w:r>
      <w:r w:rsidRPr="00CE47EE">
        <w:rPr>
          <w:rFonts w:asciiTheme="majorHAnsi" w:hAnsiTheme="majorHAnsi" w:cstheme="majorHAnsi"/>
          <w:sz w:val="20"/>
        </w:rPr>
        <w:t xml:space="preserve"> This section is extracted from </w:t>
      </w:r>
      <w:r w:rsidRPr="007F11F0">
        <w:rPr>
          <w:rFonts w:asciiTheme="majorHAnsi" w:hAnsiTheme="majorHAnsi" w:cstheme="majorHAnsi"/>
          <w:sz w:val="20"/>
        </w:rPr>
        <w:t xml:space="preserve">Frohmader, C., &amp; Sands, T., (2015) </w:t>
      </w:r>
      <w:proofErr w:type="spellStart"/>
      <w:r w:rsidRPr="007F11F0">
        <w:rPr>
          <w:rFonts w:asciiTheme="majorHAnsi" w:hAnsiTheme="majorHAnsi" w:cstheme="majorHAnsi"/>
          <w:sz w:val="20"/>
        </w:rPr>
        <w:t>op.cit</w:t>
      </w:r>
      <w:proofErr w:type="spellEnd"/>
      <w:r w:rsidRPr="007F11F0">
        <w:rPr>
          <w:rFonts w:asciiTheme="majorHAnsi" w:hAnsiTheme="majorHAnsi" w:cstheme="majorHAnsi"/>
          <w:sz w:val="20"/>
        </w:rPr>
        <w:t>.,</w:t>
      </w:r>
      <w:r>
        <w:rPr>
          <w:rFonts w:asciiTheme="majorHAnsi" w:hAnsiTheme="majorHAnsi" w:cstheme="majorHAnsi"/>
          <w:sz w:val="20"/>
        </w:rPr>
        <w:t xml:space="preserve"> p</w:t>
      </w:r>
      <w:r w:rsidRPr="00CE47EE">
        <w:rPr>
          <w:rFonts w:asciiTheme="majorHAnsi" w:hAnsiTheme="majorHAnsi" w:cstheme="majorHAnsi"/>
          <w:sz w:val="20"/>
        </w:rPr>
        <w:t>p</w:t>
      </w:r>
      <w:r>
        <w:rPr>
          <w:rFonts w:asciiTheme="majorHAnsi" w:hAnsiTheme="majorHAnsi" w:cstheme="majorHAnsi"/>
          <w:sz w:val="20"/>
        </w:rPr>
        <w:t>. 55-57.</w:t>
      </w:r>
    </w:p>
  </w:footnote>
  <w:footnote w:id="81">
    <w:p w:rsidR="00DD224E" w:rsidRPr="00CE47EE" w:rsidRDefault="00DD224E" w:rsidP="001C1253">
      <w:pPr>
        <w:pStyle w:val="NoSpacing"/>
        <w:rPr>
          <w:rFonts w:asciiTheme="majorHAnsi" w:hAnsiTheme="majorHAnsi" w:cstheme="majorHAnsi"/>
          <w:sz w:val="20"/>
        </w:rPr>
      </w:pPr>
      <w:r w:rsidRPr="00CE47EE">
        <w:rPr>
          <w:rStyle w:val="FootnoteReference"/>
          <w:rFonts w:asciiTheme="majorHAnsi" w:hAnsiTheme="majorHAnsi" w:cstheme="majorHAnsi"/>
          <w:sz w:val="20"/>
        </w:rPr>
        <w:footnoteRef/>
      </w:r>
      <w:r w:rsidRPr="00CE47EE">
        <w:rPr>
          <w:rFonts w:asciiTheme="majorHAnsi" w:hAnsiTheme="majorHAnsi" w:cstheme="majorHAnsi"/>
          <w:sz w:val="20"/>
        </w:rPr>
        <w:t xml:space="preserve"> Australian Human Rights Commission (2014) </w:t>
      </w:r>
      <w:r w:rsidRPr="00CE47EE">
        <w:rPr>
          <w:rFonts w:asciiTheme="majorHAnsi" w:hAnsiTheme="majorHAnsi" w:cstheme="majorHAnsi"/>
          <w:i/>
          <w:sz w:val="20"/>
        </w:rPr>
        <w:t>‘Equal Before the Law: Towards Disability Justice Strategies’</w:t>
      </w:r>
      <w:r w:rsidRPr="00CE47EE">
        <w:rPr>
          <w:rFonts w:asciiTheme="majorHAnsi" w:hAnsiTheme="majorHAnsi" w:cstheme="majorHAnsi"/>
          <w:sz w:val="20"/>
        </w:rPr>
        <w:t xml:space="preserve">, </w:t>
      </w:r>
      <w:hyperlink r:id="rId34" w:history="1">
        <w:r w:rsidRPr="00CE47EE">
          <w:rPr>
            <w:rStyle w:val="Hyperlink"/>
            <w:rFonts w:asciiTheme="majorHAnsi" w:hAnsiTheme="majorHAnsi" w:cstheme="majorHAnsi"/>
            <w:sz w:val="20"/>
          </w:rPr>
          <w:t>https://www.humanrights.gov.au/sites/default/files/document/publication/2014_Equal_Before_the_Law.pdf</w:t>
        </w:r>
      </w:hyperlink>
      <w:r w:rsidRPr="00CE47EE">
        <w:rPr>
          <w:rFonts w:asciiTheme="majorHAnsi" w:hAnsiTheme="majorHAnsi" w:cstheme="majorHAnsi"/>
          <w:sz w:val="20"/>
        </w:rPr>
        <w:t xml:space="preserve">; Victorian Equal Opportunity and Human Rights Commission (2014) </w:t>
      </w:r>
      <w:proofErr w:type="spellStart"/>
      <w:r w:rsidRPr="00CE47EE">
        <w:rPr>
          <w:rFonts w:asciiTheme="majorHAnsi" w:hAnsiTheme="majorHAnsi" w:cstheme="majorHAnsi"/>
          <w:sz w:val="20"/>
        </w:rPr>
        <w:t>OpCit</w:t>
      </w:r>
      <w:proofErr w:type="spellEnd"/>
      <w:r w:rsidRPr="00CE47EE">
        <w:rPr>
          <w:rFonts w:asciiTheme="majorHAnsi" w:hAnsiTheme="majorHAnsi" w:cstheme="majorHAnsi"/>
          <w:sz w:val="20"/>
        </w:rPr>
        <w:t>.</w:t>
      </w:r>
    </w:p>
  </w:footnote>
  <w:footnote w:id="82">
    <w:p w:rsidR="00DD224E" w:rsidRPr="00CE47EE" w:rsidRDefault="00DD224E" w:rsidP="001C1253">
      <w:pPr>
        <w:pStyle w:val="NoSpacing"/>
        <w:rPr>
          <w:rFonts w:asciiTheme="majorHAnsi" w:hAnsiTheme="majorHAnsi" w:cstheme="majorHAnsi"/>
          <w:sz w:val="20"/>
        </w:rPr>
      </w:pPr>
      <w:r w:rsidRPr="00CE47EE">
        <w:rPr>
          <w:rStyle w:val="FootnoteReference"/>
          <w:rFonts w:asciiTheme="majorHAnsi" w:hAnsiTheme="majorHAnsi" w:cstheme="majorHAnsi"/>
          <w:sz w:val="20"/>
        </w:rPr>
        <w:footnoteRef/>
      </w:r>
      <w:r w:rsidRPr="00CE47EE">
        <w:rPr>
          <w:rFonts w:asciiTheme="majorHAnsi" w:hAnsiTheme="majorHAnsi" w:cstheme="majorHAnsi"/>
          <w:sz w:val="20"/>
        </w:rPr>
        <w:t xml:space="preserve"> Australian Human Rights Commission (2014), op. cit., p. 9</w:t>
      </w:r>
    </w:p>
  </w:footnote>
  <w:footnote w:id="83">
    <w:p w:rsidR="00DD224E" w:rsidRPr="00CE47EE" w:rsidRDefault="00DD224E" w:rsidP="001C1253">
      <w:pPr>
        <w:pStyle w:val="NoSpacing"/>
        <w:rPr>
          <w:rFonts w:asciiTheme="majorHAnsi" w:hAnsiTheme="majorHAnsi" w:cstheme="majorHAnsi"/>
          <w:sz w:val="20"/>
        </w:rPr>
      </w:pPr>
      <w:r w:rsidRPr="00CE47EE">
        <w:rPr>
          <w:rStyle w:val="FootnoteReference"/>
          <w:rFonts w:asciiTheme="majorHAnsi" w:hAnsiTheme="majorHAnsi" w:cstheme="majorHAnsi"/>
          <w:sz w:val="20"/>
        </w:rPr>
        <w:footnoteRef/>
      </w:r>
      <w:r w:rsidRPr="00CE47EE">
        <w:rPr>
          <w:rFonts w:asciiTheme="majorHAnsi" w:hAnsiTheme="majorHAnsi" w:cstheme="majorHAnsi"/>
          <w:sz w:val="20"/>
        </w:rPr>
        <w:t xml:space="preserve"> French, P. (2007) </w:t>
      </w:r>
      <w:r w:rsidRPr="00CE47EE">
        <w:rPr>
          <w:rFonts w:asciiTheme="majorHAnsi" w:hAnsiTheme="majorHAnsi" w:cstheme="majorHAnsi"/>
          <w:i/>
          <w:sz w:val="20"/>
        </w:rPr>
        <w:t>‘Disabled Justice: The Barriers to Justice for Persons with Disability in Queensland’</w:t>
      </w:r>
      <w:r w:rsidRPr="00CE47EE">
        <w:rPr>
          <w:rFonts w:asciiTheme="majorHAnsi" w:hAnsiTheme="majorHAnsi" w:cstheme="majorHAnsi"/>
          <w:sz w:val="20"/>
        </w:rPr>
        <w:t xml:space="preserve"> (Report, Queensland Advocacy Incorporated, 22 May 2007).</w:t>
      </w:r>
    </w:p>
  </w:footnote>
  <w:footnote w:id="84">
    <w:p w:rsidR="00DD224E" w:rsidRPr="00CE47EE" w:rsidRDefault="00DD224E" w:rsidP="001C1253">
      <w:pPr>
        <w:pStyle w:val="NoSpacing"/>
        <w:rPr>
          <w:rFonts w:asciiTheme="majorHAnsi" w:hAnsiTheme="majorHAnsi" w:cstheme="majorHAnsi"/>
          <w:sz w:val="20"/>
        </w:rPr>
      </w:pPr>
      <w:r w:rsidRPr="00CE47EE">
        <w:rPr>
          <w:rStyle w:val="FootnoteReference"/>
          <w:rFonts w:asciiTheme="majorHAnsi" w:hAnsiTheme="majorHAnsi" w:cstheme="majorHAnsi"/>
          <w:sz w:val="20"/>
        </w:rPr>
        <w:footnoteRef/>
      </w:r>
      <w:r w:rsidRPr="00CE47EE">
        <w:rPr>
          <w:rFonts w:asciiTheme="majorHAnsi" w:hAnsiTheme="majorHAnsi" w:cstheme="majorHAnsi"/>
          <w:sz w:val="20"/>
        </w:rPr>
        <w:t xml:space="preserve"> See </w:t>
      </w:r>
      <w:proofErr w:type="spellStart"/>
      <w:r w:rsidRPr="00CE47EE">
        <w:rPr>
          <w:rFonts w:asciiTheme="majorHAnsi" w:hAnsiTheme="majorHAnsi" w:cstheme="majorHAnsi"/>
          <w:sz w:val="20"/>
        </w:rPr>
        <w:t>eg</w:t>
      </w:r>
      <w:proofErr w:type="spellEnd"/>
      <w:r w:rsidRPr="00CE47EE">
        <w:rPr>
          <w:rFonts w:asciiTheme="majorHAnsi" w:hAnsiTheme="majorHAnsi" w:cstheme="majorHAnsi"/>
          <w:sz w:val="20"/>
        </w:rPr>
        <w:t xml:space="preserve">. Kelly Vincent, </w:t>
      </w:r>
      <w:r w:rsidRPr="00CE47EE">
        <w:rPr>
          <w:rFonts w:asciiTheme="majorHAnsi" w:hAnsiTheme="majorHAnsi" w:cstheme="majorHAnsi"/>
          <w:i/>
          <w:sz w:val="20"/>
        </w:rPr>
        <w:t>‘Justice denied no more’</w:t>
      </w:r>
      <w:r w:rsidRPr="00CE47EE">
        <w:rPr>
          <w:rFonts w:asciiTheme="majorHAnsi" w:hAnsiTheme="majorHAnsi" w:cstheme="majorHAnsi"/>
          <w:sz w:val="20"/>
        </w:rPr>
        <w:t xml:space="preserve">, (Media Release, 2 July 2015), </w:t>
      </w:r>
      <w:hyperlink r:id="rId35" w:history="1">
        <w:r w:rsidRPr="00CE47EE">
          <w:rPr>
            <w:rStyle w:val="Hyperlink"/>
            <w:rFonts w:asciiTheme="majorHAnsi" w:hAnsiTheme="majorHAnsi" w:cstheme="majorHAnsi"/>
            <w:sz w:val="20"/>
          </w:rPr>
          <w:t>http://www.kellyvincentmlc.com/dignity-for-disability-mlc-kelly-vincent-media-release-justice-denied-no-more</w:t>
        </w:r>
      </w:hyperlink>
      <w:r w:rsidRPr="00CE47EE">
        <w:rPr>
          <w:rFonts w:asciiTheme="majorHAnsi" w:hAnsiTheme="majorHAnsi" w:cstheme="majorHAnsi"/>
          <w:sz w:val="20"/>
        </w:rPr>
        <w:t xml:space="preserve"> </w:t>
      </w:r>
    </w:p>
  </w:footnote>
  <w:footnote w:id="85">
    <w:p w:rsidR="00DD224E" w:rsidRPr="00A60794" w:rsidRDefault="00DD224E" w:rsidP="001C1253">
      <w:pPr>
        <w:pStyle w:val="NoSpacing"/>
        <w:rPr>
          <w:rFonts w:asciiTheme="majorHAnsi" w:hAnsiTheme="majorHAnsi" w:cstheme="majorHAnsi"/>
          <w:sz w:val="20"/>
        </w:rPr>
      </w:pPr>
      <w:r w:rsidRPr="00A60794">
        <w:rPr>
          <w:rStyle w:val="FootnoteReference"/>
          <w:rFonts w:asciiTheme="majorHAnsi" w:hAnsiTheme="majorHAnsi" w:cstheme="majorHAnsi"/>
          <w:color w:val="auto"/>
          <w:sz w:val="20"/>
        </w:rPr>
        <w:footnoteRef/>
      </w:r>
      <w:r w:rsidRPr="00A60794">
        <w:rPr>
          <w:rFonts w:asciiTheme="majorHAnsi" w:hAnsiTheme="majorHAnsi" w:cstheme="majorHAnsi"/>
          <w:sz w:val="20"/>
        </w:rPr>
        <w:t xml:space="preserve"> For different examples of training programs for Court staff see NSW Attorney General’s Department, </w:t>
      </w:r>
      <w:r w:rsidRPr="00A60794">
        <w:rPr>
          <w:rFonts w:asciiTheme="majorHAnsi" w:hAnsiTheme="majorHAnsi" w:cstheme="majorHAnsi"/>
          <w:i/>
          <w:sz w:val="20"/>
        </w:rPr>
        <w:t>‘Disability Strategic Plan’</w:t>
      </w:r>
      <w:r w:rsidRPr="00A60794">
        <w:rPr>
          <w:rFonts w:asciiTheme="majorHAnsi" w:hAnsiTheme="majorHAnsi" w:cstheme="majorHAnsi"/>
          <w:sz w:val="20"/>
        </w:rPr>
        <w:t xml:space="preserve">, and Victorian Department of Justice, </w:t>
      </w:r>
      <w:r w:rsidRPr="00A60794">
        <w:rPr>
          <w:rFonts w:asciiTheme="majorHAnsi" w:hAnsiTheme="majorHAnsi" w:cstheme="majorHAnsi"/>
          <w:i/>
          <w:sz w:val="20"/>
        </w:rPr>
        <w:t>‘Disability Action Plan’,</w:t>
      </w:r>
      <w:r w:rsidRPr="00A60794">
        <w:rPr>
          <w:rFonts w:asciiTheme="majorHAnsi" w:hAnsiTheme="majorHAnsi" w:cstheme="majorHAnsi"/>
          <w:sz w:val="20"/>
        </w:rPr>
        <w:t xml:space="preserve"> Disability issues or discrimination law is currently not compulsory for Australian law graduates.</w:t>
      </w:r>
    </w:p>
  </w:footnote>
  <w:footnote w:id="86">
    <w:p w:rsidR="00DD224E" w:rsidRPr="00A60794" w:rsidRDefault="00DD224E" w:rsidP="001C1253">
      <w:pPr>
        <w:pStyle w:val="NoSpacing"/>
        <w:rPr>
          <w:rFonts w:asciiTheme="majorHAnsi" w:hAnsiTheme="majorHAnsi" w:cstheme="majorHAnsi"/>
          <w:sz w:val="20"/>
        </w:rPr>
      </w:pPr>
      <w:r w:rsidRPr="00A60794">
        <w:rPr>
          <w:rStyle w:val="FootnoteReference"/>
          <w:rFonts w:asciiTheme="majorHAnsi" w:hAnsiTheme="majorHAnsi" w:cstheme="majorHAnsi"/>
          <w:color w:val="auto"/>
          <w:sz w:val="20"/>
        </w:rPr>
        <w:footnoteRef/>
      </w:r>
      <w:r w:rsidRPr="00A60794">
        <w:rPr>
          <w:rFonts w:asciiTheme="majorHAnsi" w:hAnsiTheme="majorHAnsi" w:cstheme="majorHAnsi"/>
          <w:sz w:val="20"/>
        </w:rPr>
        <w:t xml:space="preserve"> Louis </w:t>
      </w:r>
      <w:proofErr w:type="spellStart"/>
      <w:r w:rsidRPr="00A60794">
        <w:rPr>
          <w:rFonts w:asciiTheme="majorHAnsi" w:hAnsiTheme="majorHAnsi" w:cstheme="majorHAnsi"/>
          <w:sz w:val="20"/>
        </w:rPr>
        <w:t>Schetzer</w:t>
      </w:r>
      <w:proofErr w:type="spellEnd"/>
      <w:r w:rsidRPr="00A60794">
        <w:rPr>
          <w:rFonts w:asciiTheme="majorHAnsi" w:hAnsiTheme="majorHAnsi" w:cstheme="majorHAnsi"/>
          <w:sz w:val="20"/>
        </w:rPr>
        <w:t xml:space="preserve"> and Judith Henderson, </w:t>
      </w:r>
      <w:r w:rsidRPr="00A60794">
        <w:rPr>
          <w:rFonts w:asciiTheme="majorHAnsi" w:hAnsiTheme="majorHAnsi" w:cstheme="majorHAnsi"/>
          <w:i/>
          <w:sz w:val="20"/>
        </w:rPr>
        <w:t>‘Access to Justice and Legal Needs, Stage 1 Public Consultations’</w:t>
      </w:r>
      <w:r w:rsidRPr="00A60794">
        <w:rPr>
          <w:rFonts w:asciiTheme="majorHAnsi" w:hAnsiTheme="majorHAnsi" w:cstheme="majorHAnsi"/>
          <w:sz w:val="20"/>
        </w:rPr>
        <w:t xml:space="preserve"> (Report, Law and Justice Foundation of NSW, 2003) 216, 225, </w:t>
      </w:r>
      <w:hyperlink r:id="rId36" w:history="1">
        <w:r w:rsidRPr="00A60794">
          <w:rPr>
            <w:rStyle w:val="Hyperlink"/>
            <w:rFonts w:asciiTheme="majorHAnsi" w:hAnsiTheme="majorHAnsi" w:cstheme="majorHAnsi"/>
            <w:sz w:val="20"/>
          </w:rPr>
          <w:t>www.lawfoundation.net.au/report/consultations</w:t>
        </w:r>
      </w:hyperlink>
    </w:p>
  </w:footnote>
  <w:footnote w:id="87">
    <w:p w:rsidR="00DD224E" w:rsidRPr="00A60794" w:rsidRDefault="00DD224E" w:rsidP="00A60794">
      <w:pPr>
        <w:pStyle w:val="NoSpacing"/>
        <w:rPr>
          <w:rFonts w:asciiTheme="majorHAnsi" w:hAnsiTheme="majorHAnsi" w:cstheme="majorHAnsi"/>
          <w:sz w:val="20"/>
        </w:rPr>
      </w:pPr>
      <w:r w:rsidRPr="00A60794">
        <w:rPr>
          <w:rStyle w:val="FootnoteReference"/>
          <w:rFonts w:asciiTheme="majorHAnsi" w:hAnsiTheme="majorHAnsi" w:cstheme="majorHAnsi"/>
          <w:sz w:val="20"/>
        </w:rPr>
        <w:footnoteRef/>
      </w:r>
      <w:r w:rsidRPr="00A60794">
        <w:rPr>
          <w:rFonts w:asciiTheme="majorHAnsi" w:hAnsiTheme="majorHAnsi" w:cstheme="majorHAnsi"/>
          <w:sz w:val="20"/>
        </w:rPr>
        <w:t xml:space="preserve"> Victorian Equal Opportunity and Human Rights Commission (2014), op </w:t>
      </w:r>
      <w:proofErr w:type="spellStart"/>
      <w:r w:rsidRPr="00A60794">
        <w:rPr>
          <w:rFonts w:asciiTheme="majorHAnsi" w:hAnsiTheme="majorHAnsi" w:cstheme="majorHAnsi"/>
          <w:sz w:val="20"/>
        </w:rPr>
        <w:t>cit</w:t>
      </w:r>
      <w:proofErr w:type="spellEnd"/>
      <w:r w:rsidRPr="00A60794">
        <w:rPr>
          <w:rFonts w:asciiTheme="majorHAnsi" w:hAnsiTheme="majorHAnsi" w:cstheme="majorHAnsi"/>
          <w:sz w:val="20"/>
        </w:rPr>
        <w:t>, pp.20-21</w:t>
      </w:r>
    </w:p>
  </w:footnote>
  <w:footnote w:id="88">
    <w:p w:rsidR="00DD224E" w:rsidRDefault="00DD224E">
      <w:pPr>
        <w:pStyle w:val="FootnoteText"/>
      </w:pPr>
      <w:r>
        <w:rPr>
          <w:rStyle w:val="FootnoteReference"/>
        </w:rPr>
        <w:footnoteRef/>
      </w:r>
      <w:r>
        <w:t xml:space="preserve"> </w:t>
      </w:r>
      <w:proofErr w:type="spellStart"/>
      <w:r w:rsidRPr="00175E06">
        <w:rPr>
          <w:rFonts w:eastAsia="Times New Roman" w:cs="Arial"/>
          <w:sz w:val="20"/>
          <w:szCs w:val="20"/>
          <w:shd w:val="clear" w:color="auto" w:fill="FFFFFF"/>
        </w:rPr>
        <w:t>Wurtzel</w:t>
      </w:r>
      <w:proofErr w:type="spellEnd"/>
      <w:r w:rsidRPr="00175E06">
        <w:rPr>
          <w:rFonts w:eastAsia="Times New Roman" w:cs="Arial"/>
          <w:sz w:val="20"/>
          <w:szCs w:val="20"/>
          <w:shd w:val="clear" w:color="auto" w:fill="FFFFFF"/>
        </w:rPr>
        <w:t xml:space="preserve">, David and Cooper, Penny (2013) </w:t>
      </w:r>
      <w:r w:rsidRPr="00175E06">
        <w:rPr>
          <w:rFonts w:eastAsia="Times New Roman" w:cs="Arial"/>
          <w:i/>
          <w:sz w:val="20"/>
          <w:szCs w:val="20"/>
          <w:shd w:val="clear" w:color="auto" w:fill="FFFFFF"/>
        </w:rPr>
        <w:t>Making it meaningful - how to ensure the effective participation of v</w:t>
      </w:r>
      <w:r>
        <w:rPr>
          <w:rFonts w:eastAsia="Times New Roman" w:cs="Arial"/>
          <w:i/>
          <w:sz w:val="20"/>
          <w:szCs w:val="20"/>
          <w:shd w:val="clear" w:color="auto" w:fill="FFFFFF"/>
        </w:rPr>
        <w:t xml:space="preserve">ulnerable defendants in a trial, </w:t>
      </w:r>
      <w:r w:rsidRPr="00175E06">
        <w:rPr>
          <w:rFonts w:eastAsia="Times New Roman" w:cs="Arial"/>
          <w:sz w:val="20"/>
          <w:szCs w:val="20"/>
          <w:shd w:val="clear" w:color="auto" w:fill="FFFFFF"/>
        </w:rPr>
        <w:t xml:space="preserve">Counsel , pp. 23-25. </w:t>
      </w:r>
    </w:p>
  </w:footnote>
  <w:footnote w:id="89">
    <w:p w:rsidR="00DD224E" w:rsidRDefault="00DD224E">
      <w:pPr>
        <w:pStyle w:val="FootnoteText"/>
      </w:pPr>
      <w:r>
        <w:rPr>
          <w:rStyle w:val="FootnoteReference"/>
        </w:rPr>
        <w:footnoteRef/>
      </w:r>
      <w:r>
        <w:t xml:space="preserve"> The Advocate’s Gateway, </w:t>
      </w:r>
      <w:hyperlink r:id="rId37" w:history="1">
        <w:r w:rsidRPr="004F3F42">
          <w:rPr>
            <w:rStyle w:val="Hyperlink"/>
          </w:rPr>
          <w:t>http://theadvocategateway.org</w:t>
        </w:r>
      </w:hyperlink>
      <w:r>
        <w:t xml:space="preserve"> </w:t>
      </w:r>
    </w:p>
  </w:footnote>
  <w:footnote w:id="90">
    <w:p w:rsidR="00DD224E" w:rsidRPr="00A60794" w:rsidRDefault="00DD224E" w:rsidP="00A60794">
      <w:pPr>
        <w:pStyle w:val="NoSpacing"/>
        <w:rPr>
          <w:rFonts w:asciiTheme="majorHAnsi" w:hAnsiTheme="majorHAnsi" w:cstheme="majorHAnsi"/>
          <w:sz w:val="20"/>
        </w:rPr>
      </w:pPr>
      <w:r w:rsidRPr="00A60794">
        <w:rPr>
          <w:rStyle w:val="FootnoteReference"/>
          <w:rFonts w:asciiTheme="majorHAnsi" w:hAnsiTheme="majorHAnsi" w:cstheme="majorHAnsi"/>
          <w:sz w:val="20"/>
        </w:rPr>
        <w:footnoteRef/>
      </w:r>
      <w:r w:rsidRPr="00A60794">
        <w:rPr>
          <w:rFonts w:asciiTheme="majorHAnsi" w:hAnsiTheme="majorHAnsi" w:cstheme="majorHAnsi"/>
          <w:sz w:val="20"/>
        </w:rPr>
        <w:t xml:space="preserve">See </w:t>
      </w:r>
      <w:r w:rsidRPr="000B118F">
        <w:rPr>
          <w:rFonts w:asciiTheme="majorHAnsi" w:hAnsiTheme="majorHAnsi" w:cstheme="majorHAnsi"/>
          <w:sz w:val="20"/>
        </w:rPr>
        <w:t xml:space="preserve">PWDA, National Association of Community Legal </w:t>
      </w:r>
      <w:proofErr w:type="spellStart"/>
      <w:r w:rsidRPr="000B118F">
        <w:rPr>
          <w:rFonts w:asciiTheme="majorHAnsi" w:hAnsiTheme="majorHAnsi" w:cstheme="majorHAnsi"/>
          <w:sz w:val="20"/>
        </w:rPr>
        <w:t>Centres</w:t>
      </w:r>
      <w:proofErr w:type="spellEnd"/>
      <w:r w:rsidRPr="000B118F">
        <w:rPr>
          <w:rFonts w:asciiTheme="majorHAnsi" w:hAnsiTheme="majorHAnsi" w:cstheme="majorHAnsi"/>
          <w:sz w:val="20"/>
        </w:rPr>
        <w:t xml:space="preserve"> (July 2014), </w:t>
      </w:r>
      <w:r>
        <w:rPr>
          <w:rFonts w:asciiTheme="majorHAnsi" w:hAnsiTheme="majorHAnsi" w:cstheme="majorHAnsi"/>
          <w:sz w:val="20"/>
        </w:rPr>
        <w:t xml:space="preserve"> </w:t>
      </w:r>
      <w:proofErr w:type="spellStart"/>
      <w:r>
        <w:rPr>
          <w:rFonts w:asciiTheme="majorHAnsi" w:hAnsiTheme="majorHAnsi" w:cstheme="majorHAnsi"/>
          <w:sz w:val="20"/>
        </w:rPr>
        <w:t>op.cit</w:t>
      </w:r>
      <w:proofErr w:type="spellEnd"/>
      <w:r>
        <w:rPr>
          <w:rFonts w:asciiTheme="majorHAnsi" w:hAnsiTheme="majorHAnsi" w:cstheme="majorHAnsi"/>
          <w:sz w:val="20"/>
        </w:rPr>
        <w:t xml:space="preserve">., </w:t>
      </w:r>
      <w:hyperlink r:id="rId38" w:history="1">
        <w:r w:rsidRPr="00A60794">
          <w:rPr>
            <w:rStyle w:val="Hyperlink"/>
            <w:rFonts w:asciiTheme="majorHAnsi" w:hAnsiTheme="majorHAnsi" w:cstheme="majorHAnsi"/>
            <w:sz w:val="20"/>
          </w:rPr>
          <w:t>http://www.pwd.org.au/documents/pubs/SB14-ALRC-Submission-PWDA-NACLC.doc</w:t>
        </w:r>
      </w:hyperlink>
      <w:r w:rsidRPr="00A60794">
        <w:rPr>
          <w:rFonts w:asciiTheme="majorHAnsi" w:hAnsiTheme="majorHAnsi" w:cstheme="majorHAnsi"/>
          <w:sz w:val="20"/>
        </w:rPr>
        <w:t xml:space="preserve"> </w:t>
      </w:r>
    </w:p>
  </w:footnote>
  <w:footnote w:id="91">
    <w:p w:rsidR="00DD224E" w:rsidRPr="00A60794" w:rsidRDefault="00DD224E" w:rsidP="001C1253">
      <w:pPr>
        <w:pStyle w:val="NoSpacing"/>
        <w:rPr>
          <w:rFonts w:asciiTheme="majorHAnsi" w:hAnsiTheme="majorHAnsi" w:cstheme="majorHAnsi"/>
          <w:sz w:val="20"/>
        </w:rPr>
      </w:pPr>
      <w:r w:rsidRPr="00A60794">
        <w:rPr>
          <w:rStyle w:val="FootnoteReference"/>
          <w:rFonts w:asciiTheme="majorHAnsi" w:hAnsiTheme="majorHAnsi" w:cstheme="majorHAnsi"/>
          <w:sz w:val="20"/>
        </w:rPr>
        <w:footnoteRef/>
      </w:r>
      <w:r w:rsidRPr="00A60794">
        <w:rPr>
          <w:rFonts w:asciiTheme="majorHAnsi" w:hAnsiTheme="majorHAnsi" w:cstheme="majorHAnsi"/>
          <w:sz w:val="20"/>
        </w:rPr>
        <w:t xml:space="preserve"> People with Disability Australia, (2014) </w:t>
      </w:r>
      <w:proofErr w:type="spellStart"/>
      <w:r w:rsidRPr="00A60794">
        <w:rPr>
          <w:rFonts w:asciiTheme="majorHAnsi" w:hAnsiTheme="majorHAnsi" w:cstheme="majorHAnsi"/>
          <w:sz w:val="20"/>
        </w:rPr>
        <w:t>OpCit</w:t>
      </w:r>
      <w:proofErr w:type="spellEnd"/>
      <w:r w:rsidRPr="00A60794">
        <w:rPr>
          <w:rFonts w:asciiTheme="majorHAnsi" w:hAnsiTheme="majorHAnsi" w:cstheme="majorHAnsi"/>
          <w:sz w:val="20"/>
        </w:rPr>
        <w:t xml:space="preserve">; Women with Disabilities Australia, Submission to the UN, </w:t>
      </w:r>
      <w:r w:rsidRPr="00A60794">
        <w:rPr>
          <w:rFonts w:asciiTheme="majorHAnsi" w:hAnsiTheme="majorHAnsi" w:cstheme="majorHAnsi"/>
          <w:i/>
          <w:sz w:val="20"/>
        </w:rPr>
        <w:t>Analytical Study on Violence against Women and Girls with Disabilities</w:t>
      </w:r>
      <w:r w:rsidRPr="00A60794">
        <w:rPr>
          <w:rFonts w:asciiTheme="majorHAnsi" w:hAnsiTheme="majorHAnsi" w:cstheme="majorHAnsi"/>
          <w:sz w:val="20"/>
        </w:rPr>
        <w:t xml:space="preserve">, December 2011, 25; French, P. et al (2009) </w:t>
      </w:r>
      <w:proofErr w:type="spellStart"/>
      <w:r w:rsidRPr="00A60794">
        <w:rPr>
          <w:rFonts w:asciiTheme="majorHAnsi" w:hAnsiTheme="majorHAnsi" w:cstheme="majorHAnsi"/>
          <w:sz w:val="20"/>
        </w:rPr>
        <w:t>OpCit</w:t>
      </w:r>
      <w:proofErr w:type="spellEnd"/>
      <w:r w:rsidRPr="00A60794">
        <w:rPr>
          <w:rFonts w:asciiTheme="majorHAnsi" w:hAnsiTheme="majorHAnsi" w:cstheme="majorHAnsi"/>
          <w:sz w:val="20"/>
        </w:rPr>
        <w:t>.</w:t>
      </w:r>
    </w:p>
  </w:footnote>
  <w:footnote w:id="92">
    <w:p w:rsidR="00DD224E" w:rsidRPr="003E23AD" w:rsidRDefault="00DD224E" w:rsidP="001C1253">
      <w:pPr>
        <w:pStyle w:val="NoSpacing"/>
        <w:rPr>
          <w:rFonts w:asciiTheme="majorHAnsi" w:hAnsiTheme="majorHAnsi" w:cstheme="majorHAnsi"/>
          <w:sz w:val="20"/>
        </w:rPr>
      </w:pPr>
      <w:r w:rsidRPr="003E23AD">
        <w:rPr>
          <w:rStyle w:val="FootnoteReference"/>
          <w:rFonts w:asciiTheme="majorHAnsi" w:hAnsiTheme="majorHAnsi" w:cstheme="majorHAnsi"/>
          <w:sz w:val="20"/>
        </w:rPr>
        <w:footnoteRef/>
      </w:r>
      <w:r w:rsidRPr="003E23AD">
        <w:rPr>
          <w:rFonts w:asciiTheme="majorHAnsi" w:hAnsiTheme="majorHAnsi" w:cstheme="majorHAnsi"/>
          <w:sz w:val="20"/>
        </w:rPr>
        <w:t xml:space="preserve">Endorsed by all Australian Governments in March 2014, the Framework is available at </w:t>
      </w:r>
      <w:hyperlink r:id="rId39" w:history="1">
        <w:r w:rsidRPr="003E23AD">
          <w:rPr>
            <w:rStyle w:val="Hyperlink"/>
            <w:rFonts w:asciiTheme="majorHAnsi" w:hAnsiTheme="majorHAnsi" w:cstheme="majorHAnsi"/>
            <w:sz w:val="20"/>
          </w:rPr>
          <w:t>https://www.dss.gov.au/our-responsibilities/disability-and-carers/publications-articles/policy-research/national-framework-for-reducing-and-eliminating-the-use-of-restrictive-practices-in-the-disability-service-sector</w:t>
        </w:r>
      </w:hyperlink>
      <w:r w:rsidRPr="003E23AD">
        <w:rPr>
          <w:rFonts w:asciiTheme="majorHAnsi" w:hAnsiTheme="majorHAnsi" w:cstheme="majorHAnsi"/>
          <w:sz w:val="20"/>
        </w:rPr>
        <w:t xml:space="preserve"> </w:t>
      </w:r>
    </w:p>
  </w:footnote>
  <w:footnote w:id="93">
    <w:p w:rsidR="00DD224E" w:rsidRPr="003E23AD" w:rsidRDefault="00DD224E" w:rsidP="001C1253">
      <w:pPr>
        <w:pStyle w:val="NoSpacing"/>
        <w:rPr>
          <w:rFonts w:asciiTheme="majorHAnsi" w:hAnsiTheme="majorHAnsi" w:cstheme="majorHAnsi"/>
          <w:sz w:val="20"/>
        </w:rPr>
      </w:pPr>
      <w:r w:rsidRPr="003E23AD">
        <w:rPr>
          <w:rStyle w:val="FootnoteReference"/>
          <w:rFonts w:asciiTheme="majorHAnsi" w:hAnsiTheme="majorHAnsi" w:cstheme="majorHAnsi"/>
          <w:sz w:val="20"/>
        </w:rPr>
        <w:footnoteRef/>
      </w:r>
      <w:r w:rsidRPr="003E23AD">
        <w:rPr>
          <w:rFonts w:asciiTheme="majorHAnsi" w:hAnsiTheme="majorHAnsi" w:cstheme="majorHAnsi"/>
          <w:sz w:val="20"/>
        </w:rPr>
        <w:t xml:space="preserve"> People with Disability Australia (2014) </w:t>
      </w:r>
      <w:proofErr w:type="spellStart"/>
      <w:r w:rsidRPr="003E23AD">
        <w:rPr>
          <w:rFonts w:asciiTheme="majorHAnsi" w:hAnsiTheme="majorHAnsi" w:cstheme="majorHAnsi"/>
          <w:sz w:val="20"/>
        </w:rPr>
        <w:t>OpCit</w:t>
      </w:r>
      <w:proofErr w:type="spellEnd"/>
      <w:r w:rsidRPr="003E23AD">
        <w:rPr>
          <w:rFonts w:asciiTheme="majorHAnsi" w:hAnsiTheme="majorHAnsi" w:cstheme="majorHAnsi"/>
          <w:sz w:val="20"/>
        </w:rPr>
        <w:t>, pp. 23-35.</w:t>
      </w:r>
    </w:p>
  </w:footnote>
  <w:footnote w:id="94">
    <w:p w:rsidR="00DD224E" w:rsidRPr="003E23AD" w:rsidRDefault="00DD224E" w:rsidP="001C1253">
      <w:pPr>
        <w:pStyle w:val="NoSpacing"/>
        <w:rPr>
          <w:rFonts w:asciiTheme="majorHAnsi" w:hAnsiTheme="majorHAnsi" w:cstheme="majorHAnsi"/>
          <w:sz w:val="20"/>
        </w:rPr>
      </w:pPr>
      <w:r w:rsidRPr="003E23AD">
        <w:rPr>
          <w:rStyle w:val="FootnoteReference"/>
          <w:rFonts w:asciiTheme="majorHAnsi" w:hAnsiTheme="majorHAnsi" w:cstheme="majorHAnsi"/>
          <w:sz w:val="20"/>
        </w:rPr>
        <w:footnoteRef/>
      </w:r>
      <w:r w:rsidRPr="003E23AD">
        <w:rPr>
          <w:rFonts w:asciiTheme="majorHAnsi" w:hAnsiTheme="majorHAnsi" w:cstheme="majorHAnsi"/>
          <w:sz w:val="20"/>
        </w:rPr>
        <w:t xml:space="preserve"> National Mental Health Commission, </w:t>
      </w:r>
      <w:r w:rsidRPr="003E23AD">
        <w:rPr>
          <w:rFonts w:asciiTheme="majorHAnsi" w:hAnsiTheme="majorHAnsi" w:cstheme="majorHAnsi"/>
          <w:i/>
          <w:sz w:val="20"/>
        </w:rPr>
        <w:t>National Seclusion and Restraint Project</w:t>
      </w:r>
      <w:r w:rsidRPr="003E23AD">
        <w:rPr>
          <w:rFonts w:asciiTheme="majorHAnsi" w:hAnsiTheme="majorHAnsi" w:cstheme="majorHAnsi"/>
          <w:sz w:val="20"/>
        </w:rPr>
        <w:t xml:space="preserve">, </w:t>
      </w:r>
      <w:hyperlink r:id="rId40" w:history="1">
        <w:r w:rsidRPr="003E23AD">
          <w:rPr>
            <w:rStyle w:val="Hyperlink"/>
            <w:rFonts w:asciiTheme="majorHAnsi" w:hAnsiTheme="majorHAnsi" w:cstheme="majorHAnsi"/>
            <w:sz w:val="20"/>
          </w:rPr>
          <w:t>http://www.mentalhealthcommission.gov.au/our-work/national-seclusion-and-restraint-project.aspx</w:t>
        </w:r>
      </w:hyperlink>
      <w:r w:rsidRPr="003E23AD">
        <w:rPr>
          <w:rFonts w:asciiTheme="majorHAnsi" w:hAnsiTheme="majorHAnsi" w:cstheme="majorHAnsi"/>
          <w:sz w:val="20"/>
        </w:rPr>
        <w:t xml:space="preserve"> </w:t>
      </w:r>
    </w:p>
  </w:footnote>
  <w:footnote w:id="95">
    <w:p w:rsidR="00DD224E" w:rsidRPr="003E23AD" w:rsidRDefault="00DD224E" w:rsidP="001C1253">
      <w:pPr>
        <w:pStyle w:val="NoSpacing"/>
        <w:rPr>
          <w:rFonts w:asciiTheme="majorHAnsi" w:hAnsiTheme="majorHAnsi" w:cstheme="majorHAnsi"/>
          <w:sz w:val="20"/>
        </w:rPr>
      </w:pPr>
      <w:r w:rsidRPr="003E23AD">
        <w:rPr>
          <w:rStyle w:val="FootnoteReference"/>
          <w:rFonts w:asciiTheme="majorHAnsi" w:hAnsiTheme="majorHAnsi" w:cstheme="majorHAnsi"/>
          <w:sz w:val="20"/>
        </w:rPr>
        <w:footnoteRef/>
      </w:r>
      <w:r w:rsidRPr="003E23AD">
        <w:rPr>
          <w:rFonts w:asciiTheme="majorHAnsi" w:hAnsiTheme="majorHAnsi" w:cstheme="majorHAnsi"/>
          <w:sz w:val="20"/>
        </w:rPr>
        <w:t xml:space="preserve"> NSW Law Reform Commission, ‘People with Cognitive and Mental Health Impairments in the Criminal Justice System: An Overview’ (Consultation Paper No 5, January 2010) 13–15.</w:t>
      </w:r>
    </w:p>
  </w:footnote>
  <w:footnote w:id="96">
    <w:p w:rsidR="00DD224E" w:rsidRPr="007E1DD6" w:rsidRDefault="00DD224E" w:rsidP="001C1253">
      <w:pPr>
        <w:pStyle w:val="NoSpacing"/>
        <w:rPr>
          <w:rFonts w:asciiTheme="majorHAnsi" w:hAnsiTheme="majorHAnsi" w:cstheme="majorHAnsi"/>
          <w:sz w:val="20"/>
        </w:rPr>
      </w:pPr>
      <w:r w:rsidRPr="003E23AD">
        <w:rPr>
          <w:rStyle w:val="FootnoteReference"/>
          <w:rFonts w:asciiTheme="majorHAnsi" w:hAnsiTheme="majorHAnsi" w:cstheme="majorHAnsi"/>
          <w:sz w:val="20"/>
        </w:rPr>
        <w:footnoteRef/>
      </w:r>
      <w:r w:rsidRPr="003E23AD">
        <w:rPr>
          <w:rFonts w:asciiTheme="majorHAnsi" w:hAnsiTheme="majorHAnsi" w:cstheme="majorHAnsi"/>
          <w:sz w:val="20"/>
        </w:rPr>
        <w:t xml:space="preserve"> See </w:t>
      </w:r>
      <w:r>
        <w:rPr>
          <w:rFonts w:asciiTheme="majorHAnsi" w:hAnsiTheme="majorHAnsi" w:cstheme="majorHAnsi"/>
          <w:sz w:val="20"/>
        </w:rPr>
        <w:t xml:space="preserve">e.g. Sisters Inside </w:t>
      </w:r>
      <w:r w:rsidRPr="003E23AD">
        <w:rPr>
          <w:rFonts w:asciiTheme="majorHAnsi" w:hAnsiTheme="majorHAnsi" w:cstheme="majorHAnsi"/>
          <w:sz w:val="20"/>
        </w:rPr>
        <w:t>&lt;</w:t>
      </w:r>
      <w:hyperlink r:id="rId41" w:history="1">
        <w:r w:rsidRPr="003E23AD">
          <w:rPr>
            <w:rStyle w:val="Hyperlink"/>
            <w:rFonts w:asciiTheme="majorHAnsi" w:eastAsiaTheme="majorEastAsia" w:hAnsiTheme="majorHAnsi" w:cstheme="majorHAnsi"/>
            <w:sz w:val="20"/>
          </w:rPr>
          <w:t>www.sistersinside.com.au</w:t>
        </w:r>
      </w:hyperlink>
      <w:r w:rsidRPr="003E23AD">
        <w:rPr>
          <w:rFonts w:asciiTheme="majorHAnsi" w:hAnsiTheme="majorHAnsi" w:cstheme="majorHAnsi"/>
          <w:sz w:val="20"/>
        </w:rPr>
        <w:t>&gt;</w:t>
      </w:r>
      <w:r>
        <w:rPr>
          <w:rFonts w:asciiTheme="majorHAnsi" w:hAnsiTheme="majorHAnsi" w:cstheme="majorHAnsi"/>
          <w:sz w:val="20"/>
        </w:rPr>
        <w:t xml:space="preserve">; </w:t>
      </w:r>
      <w:r w:rsidRPr="007E1DD6">
        <w:rPr>
          <w:rFonts w:asciiTheme="majorHAnsi" w:hAnsiTheme="majorHAnsi" w:cstheme="majorHAnsi"/>
          <w:sz w:val="20"/>
        </w:rPr>
        <w:t xml:space="preserve">Australian Bureau of Statistics, </w:t>
      </w:r>
      <w:r w:rsidRPr="007E1DD6">
        <w:rPr>
          <w:rFonts w:asciiTheme="majorHAnsi" w:hAnsiTheme="majorHAnsi" w:cstheme="majorHAnsi"/>
          <w:i/>
          <w:sz w:val="20"/>
        </w:rPr>
        <w:t>Prisoners in Australia, 2013</w:t>
      </w:r>
      <w:r w:rsidRPr="007E1DD6">
        <w:rPr>
          <w:rFonts w:asciiTheme="majorHAnsi" w:hAnsiTheme="majorHAnsi" w:cstheme="majorHAnsi"/>
          <w:sz w:val="20"/>
        </w:rPr>
        <w:t xml:space="preserve"> (ABS Catalogue No 4517.0, 5 December 2013), </w:t>
      </w:r>
      <w:hyperlink r:id="rId42" w:history="1">
        <w:r w:rsidRPr="007E1DD6">
          <w:rPr>
            <w:rStyle w:val="Hyperlink"/>
            <w:rFonts w:asciiTheme="majorHAnsi" w:hAnsiTheme="majorHAnsi" w:cstheme="majorHAnsi"/>
            <w:sz w:val="20"/>
          </w:rPr>
          <w:t>www.abs.gov.au/ausstats/abs@.nsf/mf/4517.0</w:t>
        </w:r>
      </w:hyperlink>
      <w:r w:rsidRPr="007E1DD6">
        <w:rPr>
          <w:rFonts w:asciiTheme="majorHAnsi" w:hAnsiTheme="majorHAnsi" w:cstheme="majorHAnsi"/>
          <w:sz w:val="20"/>
        </w:rPr>
        <w:t>.</w:t>
      </w:r>
    </w:p>
  </w:footnote>
  <w:footnote w:id="97">
    <w:p w:rsidR="00DD224E" w:rsidRPr="007E1DD6" w:rsidRDefault="00DD224E" w:rsidP="001C1253">
      <w:pPr>
        <w:pStyle w:val="NoSpacing"/>
        <w:rPr>
          <w:rFonts w:asciiTheme="majorHAnsi" w:hAnsiTheme="majorHAnsi" w:cstheme="majorHAnsi"/>
          <w:sz w:val="20"/>
        </w:rPr>
      </w:pPr>
      <w:r w:rsidRPr="007E1DD6">
        <w:rPr>
          <w:rStyle w:val="FootnoteReference"/>
          <w:rFonts w:asciiTheme="majorHAnsi" w:hAnsiTheme="majorHAnsi" w:cstheme="majorHAnsi"/>
          <w:sz w:val="20"/>
        </w:rPr>
        <w:footnoteRef/>
      </w:r>
      <w:r w:rsidRPr="007E1DD6">
        <w:rPr>
          <w:rFonts w:asciiTheme="majorHAnsi" w:hAnsiTheme="majorHAnsi" w:cstheme="majorHAnsi"/>
          <w:sz w:val="20"/>
        </w:rPr>
        <w:t xml:space="preserve"> Senate Select Committee on Regional and Remote Indigenous Communities, Parliament of Australia, </w:t>
      </w:r>
      <w:r w:rsidRPr="007E1DD6">
        <w:rPr>
          <w:rFonts w:asciiTheme="majorHAnsi" w:hAnsiTheme="majorHAnsi" w:cstheme="majorHAnsi"/>
          <w:i/>
          <w:sz w:val="20"/>
        </w:rPr>
        <w:t>Indigenous Australians, Incarceration and the Criminal Justice System</w:t>
      </w:r>
      <w:r w:rsidRPr="007E1DD6">
        <w:rPr>
          <w:rFonts w:asciiTheme="majorHAnsi" w:hAnsiTheme="majorHAnsi" w:cstheme="majorHAnsi"/>
          <w:sz w:val="20"/>
        </w:rPr>
        <w:t xml:space="preserve"> (March 2010) 5.</w:t>
      </w:r>
    </w:p>
  </w:footnote>
  <w:footnote w:id="98">
    <w:p w:rsidR="00DD224E" w:rsidRPr="007E1DD6" w:rsidRDefault="00DD224E" w:rsidP="001C1253">
      <w:pPr>
        <w:pStyle w:val="NoSpacing"/>
        <w:rPr>
          <w:rFonts w:asciiTheme="majorHAnsi" w:hAnsiTheme="majorHAnsi" w:cstheme="majorHAnsi"/>
          <w:sz w:val="20"/>
        </w:rPr>
      </w:pPr>
      <w:r w:rsidRPr="007E1DD6">
        <w:rPr>
          <w:rStyle w:val="FootnoteReference"/>
          <w:rFonts w:asciiTheme="majorHAnsi" w:hAnsiTheme="majorHAnsi" w:cstheme="majorHAnsi"/>
          <w:color w:val="auto"/>
          <w:sz w:val="20"/>
        </w:rPr>
        <w:footnoteRef/>
      </w:r>
      <w:r w:rsidRPr="007E1DD6">
        <w:rPr>
          <w:rFonts w:asciiTheme="majorHAnsi" w:hAnsiTheme="majorHAnsi" w:cstheme="majorHAnsi"/>
          <w:sz w:val="20"/>
        </w:rPr>
        <w:t xml:space="preserve"> Adele </w:t>
      </w:r>
      <w:proofErr w:type="spellStart"/>
      <w:r w:rsidRPr="007E1DD6">
        <w:rPr>
          <w:rFonts w:asciiTheme="majorHAnsi" w:hAnsiTheme="majorHAnsi" w:cstheme="majorHAnsi"/>
          <w:sz w:val="20"/>
        </w:rPr>
        <w:t>Horin</w:t>
      </w:r>
      <w:proofErr w:type="spellEnd"/>
      <w:r w:rsidRPr="007E1DD6">
        <w:rPr>
          <w:rFonts w:asciiTheme="majorHAnsi" w:hAnsiTheme="majorHAnsi" w:cstheme="majorHAnsi"/>
          <w:sz w:val="20"/>
        </w:rPr>
        <w:t xml:space="preserve">, ‘Report Finds Disability and Disadvantage Common in Young Offenders’, </w:t>
      </w:r>
      <w:r w:rsidRPr="007E1DD6">
        <w:rPr>
          <w:rFonts w:asciiTheme="majorHAnsi" w:hAnsiTheme="majorHAnsi" w:cstheme="majorHAnsi"/>
          <w:i/>
          <w:sz w:val="20"/>
        </w:rPr>
        <w:t>Sydney Morning Herald</w:t>
      </w:r>
      <w:r w:rsidRPr="007E1DD6">
        <w:rPr>
          <w:rFonts w:asciiTheme="majorHAnsi" w:hAnsiTheme="majorHAnsi" w:cstheme="majorHAnsi"/>
          <w:sz w:val="20"/>
        </w:rPr>
        <w:t xml:space="preserve"> (Sydney), 27 February 2010 &lt;</w:t>
      </w:r>
      <w:hyperlink r:id="rId43" w:history="1">
        <w:r w:rsidRPr="007E1DD6">
          <w:rPr>
            <w:rStyle w:val="Hyperlink"/>
            <w:rFonts w:asciiTheme="majorHAnsi" w:eastAsiaTheme="majorEastAsia" w:hAnsiTheme="majorHAnsi" w:cstheme="majorHAnsi"/>
            <w:sz w:val="20"/>
          </w:rPr>
          <w:t>www.smh.com.au/nsw/report–finds–disability–and–disadvantage–common–in–young–offenders–20100226–p95r.html</w:t>
        </w:r>
      </w:hyperlink>
      <w:r w:rsidRPr="007E1DD6">
        <w:rPr>
          <w:rFonts w:asciiTheme="majorHAnsi" w:hAnsiTheme="majorHAnsi" w:cstheme="majorHAnsi"/>
          <w:sz w:val="20"/>
        </w:rPr>
        <w:t>&gt;.</w:t>
      </w:r>
    </w:p>
  </w:footnote>
  <w:footnote w:id="99">
    <w:p w:rsidR="00DD224E" w:rsidRPr="007E1DD6" w:rsidRDefault="00DD224E" w:rsidP="001C1253">
      <w:pPr>
        <w:pStyle w:val="NoSpacing"/>
        <w:rPr>
          <w:rFonts w:asciiTheme="majorHAnsi" w:hAnsiTheme="majorHAnsi" w:cstheme="majorHAnsi"/>
          <w:i/>
          <w:iCs/>
          <w:sz w:val="20"/>
        </w:rPr>
      </w:pPr>
      <w:r w:rsidRPr="007E1DD6">
        <w:rPr>
          <w:rStyle w:val="FootnoteReference"/>
          <w:rFonts w:asciiTheme="majorHAnsi" w:hAnsiTheme="majorHAnsi" w:cstheme="majorHAnsi"/>
          <w:sz w:val="20"/>
        </w:rPr>
        <w:footnoteRef/>
      </w:r>
      <w:r w:rsidRPr="007E1DD6">
        <w:rPr>
          <w:rFonts w:asciiTheme="majorHAnsi" w:hAnsiTheme="majorHAnsi" w:cstheme="majorHAnsi"/>
          <w:sz w:val="20"/>
        </w:rPr>
        <w:t xml:space="preserve"> Devon </w:t>
      </w:r>
      <w:proofErr w:type="spellStart"/>
      <w:r w:rsidRPr="007E1DD6">
        <w:rPr>
          <w:rFonts w:asciiTheme="majorHAnsi" w:hAnsiTheme="majorHAnsi" w:cstheme="majorHAnsi"/>
          <w:sz w:val="20"/>
        </w:rPr>
        <w:t>Indig</w:t>
      </w:r>
      <w:proofErr w:type="spellEnd"/>
      <w:r w:rsidRPr="007E1DD6">
        <w:rPr>
          <w:rFonts w:asciiTheme="majorHAnsi" w:hAnsiTheme="majorHAnsi" w:cstheme="majorHAnsi"/>
          <w:sz w:val="20"/>
        </w:rPr>
        <w:t xml:space="preserve"> et al. ‘</w:t>
      </w:r>
      <w:r w:rsidRPr="007E1DD6">
        <w:rPr>
          <w:rFonts w:asciiTheme="majorHAnsi" w:hAnsiTheme="majorHAnsi" w:cstheme="majorHAnsi"/>
          <w:iCs/>
          <w:sz w:val="20"/>
        </w:rPr>
        <w:t>2009 NSW Young People in Custody Health Survey: Full Report’</w:t>
      </w:r>
      <w:r w:rsidRPr="007E1DD6">
        <w:rPr>
          <w:rFonts w:asciiTheme="majorHAnsi" w:hAnsiTheme="majorHAnsi" w:cstheme="majorHAnsi"/>
          <w:i/>
          <w:iCs/>
          <w:sz w:val="20"/>
        </w:rPr>
        <w:t>. (</w:t>
      </w:r>
      <w:r w:rsidRPr="007E1DD6">
        <w:rPr>
          <w:rFonts w:asciiTheme="majorHAnsi" w:hAnsiTheme="majorHAnsi" w:cstheme="majorHAnsi"/>
          <w:iCs/>
          <w:sz w:val="20"/>
        </w:rPr>
        <w:t>Report, Justice Health, NSW Health and Human Services Juvenile Justice, NSW Government, 2011) 15.</w:t>
      </w:r>
    </w:p>
  </w:footnote>
  <w:footnote w:id="100">
    <w:p w:rsidR="00DD224E" w:rsidRPr="007E1DD6" w:rsidRDefault="00DD224E" w:rsidP="001C1253">
      <w:pPr>
        <w:pStyle w:val="NoSpacing"/>
        <w:rPr>
          <w:rFonts w:asciiTheme="majorHAnsi" w:hAnsiTheme="majorHAnsi" w:cstheme="majorHAnsi"/>
          <w:sz w:val="20"/>
        </w:rPr>
      </w:pPr>
      <w:r w:rsidRPr="007E1DD6">
        <w:rPr>
          <w:rStyle w:val="FootnoteReference"/>
          <w:rFonts w:asciiTheme="majorHAnsi" w:hAnsiTheme="majorHAnsi" w:cstheme="majorHAnsi"/>
          <w:sz w:val="20"/>
        </w:rPr>
        <w:footnoteRef/>
      </w:r>
      <w:r w:rsidRPr="007E1DD6">
        <w:rPr>
          <w:rFonts w:asciiTheme="majorHAnsi" w:hAnsiTheme="majorHAnsi" w:cstheme="majorHAnsi"/>
          <w:sz w:val="20"/>
        </w:rPr>
        <w:t xml:space="preserve"> Ibid 15.</w:t>
      </w:r>
    </w:p>
  </w:footnote>
  <w:footnote w:id="101">
    <w:p w:rsidR="00DD224E" w:rsidRPr="007E1DD6" w:rsidRDefault="00DD224E" w:rsidP="001C1253">
      <w:pPr>
        <w:pStyle w:val="NoSpacing"/>
        <w:rPr>
          <w:rFonts w:asciiTheme="majorHAnsi" w:hAnsiTheme="majorHAnsi" w:cstheme="majorHAnsi"/>
          <w:sz w:val="20"/>
        </w:rPr>
      </w:pPr>
      <w:r w:rsidRPr="007E1DD6">
        <w:rPr>
          <w:rStyle w:val="FootnoteReference"/>
          <w:rFonts w:asciiTheme="majorHAnsi" w:hAnsiTheme="majorHAnsi" w:cstheme="majorHAnsi"/>
          <w:sz w:val="20"/>
        </w:rPr>
        <w:footnoteRef/>
      </w:r>
      <w:r w:rsidRPr="007E1DD6">
        <w:rPr>
          <w:rFonts w:asciiTheme="majorHAnsi" w:hAnsiTheme="majorHAnsi" w:cstheme="majorHAnsi"/>
          <w:sz w:val="20"/>
        </w:rPr>
        <w:t xml:space="preserve"> Ibid 77.</w:t>
      </w:r>
    </w:p>
  </w:footnote>
  <w:footnote w:id="102">
    <w:p w:rsidR="00DD224E" w:rsidRPr="007E1DD6" w:rsidRDefault="00DD224E" w:rsidP="001C1253">
      <w:pPr>
        <w:pStyle w:val="NoSpacing"/>
        <w:rPr>
          <w:rFonts w:asciiTheme="majorHAnsi" w:hAnsiTheme="majorHAnsi" w:cstheme="majorHAnsi"/>
          <w:sz w:val="20"/>
        </w:rPr>
      </w:pPr>
      <w:r w:rsidRPr="007E1DD6">
        <w:rPr>
          <w:rStyle w:val="FootnoteReference"/>
          <w:rFonts w:asciiTheme="majorHAnsi" w:hAnsiTheme="majorHAnsi" w:cstheme="majorHAnsi"/>
          <w:sz w:val="20"/>
        </w:rPr>
        <w:footnoteRef/>
      </w:r>
      <w:r w:rsidRPr="007E1DD6">
        <w:rPr>
          <w:rFonts w:asciiTheme="majorHAnsi" w:hAnsiTheme="majorHAnsi" w:cstheme="majorHAnsi"/>
          <w:sz w:val="20"/>
        </w:rPr>
        <w:t xml:space="preserve"> Submission by attendee at the CRPD Shadow Report consultation in Perth, WA (30 November 2009).</w:t>
      </w:r>
    </w:p>
  </w:footnote>
  <w:footnote w:id="103">
    <w:p w:rsidR="00DD224E" w:rsidRPr="00F555A5" w:rsidRDefault="00DD224E" w:rsidP="001C1253">
      <w:pPr>
        <w:pStyle w:val="NoSpacing"/>
        <w:rPr>
          <w:rFonts w:asciiTheme="majorHAnsi" w:hAnsiTheme="majorHAnsi" w:cstheme="majorHAnsi"/>
          <w:sz w:val="20"/>
        </w:rPr>
      </w:pPr>
      <w:r w:rsidRPr="00F555A5">
        <w:rPr>
          <w:rStyle w:val="FootnoteReference"/>
          <w:rFonts w:asciiTheme="majorHAnsi" w:hAnsiTheme="majorHAnsi" w:cstheme="majorHAnsi"/>
          <w:sz w:val="20"/>
        </w:rPr>
        <w:footnoteRef/>
      </w:r>
      <w:r w:rsidRPr="00F555A5">
        <w:rPr>
          <w:rFonts w:asciiTheme="majorHAnsi" w:hAnsiTheme="majorHAnsi" w:cstheme="majorHAnsi"/>
          <w:sz w:val="20"/>
        </w:rPr>
        <w:t xml:space="preserve"> </w:t>
      </w:r>
      <w:proofErr w:type="spellStart"/>
      <w:r w:rsidRPr="00F555A5">
        <w:rPr>
          <w:rFonts w:asciiTheme="majorHAnsi" w:hAnsiTheme="majorHAnsi" w:cstheme="majorHAnsi"/>
          <w:sz w:val="20"/>
        </w:rPr>
        <w:t>Baldry</w:t>
      </w:r>
      <w:proofErr w:type="spellEnd"/>
      <w:r w:rsidRPr="00F555A5">
        <w:rPr>
          <w:rFonts w:asciiTheme="majorHAnsi" w:hAnsiTheme="majorHAnsi" w:cstheme="majorHAnsi"/>
          <w:sz w:val="20"/>
        </w:rPr>
        <w:t xml:space="preserve">, E, </w:t>
      </w:r>
      <w:proofErr w:type="spellStart"/>
      <w:r w:rsidRPr="00F555A5">
        <w:rPr>
          <w:rFonts w:asciiTheme="majorHAnsi" w:hAnsiTheme="majorHAnsi" w:cstheme="majorHAnsi"/>
          <w:sz w:val="20"/>
        </w:rPr>
        <w:t>McCausland</w:t>
      </w:r>
      <w:proofErr w:type="spellEnd"/>
      <w:r>
        <w:rPr>
          <w:rFonts w:asciiTheme="majorHAnsi" w:hAnsiTheme="majorHAnsi" w:cstheme="majorHAnsi"/>
          <w:sz w:val="20"/>
        </w:rPr>
        <w:t>,</w:t>
      </w:r>
      <w:r w:rsidRPr="00F555A5">
        <w:rPr>
          <w:rFonts w:asciiTheme="majorHAnsi" w:hAnsiTheme="majorHAnsi" w:cstheme="majorHAnsi"/>
          <w:sz w:val="20"/>
        </w:rPr>
        <w:t xml:space="preserve"> R, Johnson, S and Cohen, A; </w:t>
      </w:r>
      <w:r w:rsidRPr="001F43C8">
        <w:rPr>
          <w:rFonts w:asciiTheme="majorHAnsi" w:hAnsiTheme="majorHAnsi" w:cstheme="majorHAnsi"/>
          <w:i/>
          <w:sz w:val="20"/>
        </w:rPr>
        <w:t>People with Mental Health Disorders and Cognitive Impairment in the Criminal Justice System: Cost Benefit Analysis of Early Support and Diversion</w:t>
      </w:r>
      <w:r>
        <w:rPr>
          <w:rFonts w:asciiTheme="majorHAnsi" w:hAnsiTheme="majorHAnsi" w:cstheme="majorHAnsi"/>
          <w:sz w:val="20"/>
        </w:rPr>
        <w:t xml:space="preserve">, August 2013, </w:t>
      </w:r>
      <w:hyperlink r:id="rId44" w:history="1">
        <w:r w:rsidRPr="004F3F42">
          <w:rPr>
            <w:rStyle w:val="Hyperlink"/>
            <w:rFonts w:asciiTheme="majorHAnsi" w:hAnsiTheme="majorHAnsi" w:cstheme="majorHAnsi"/>
            <w:sz w:val="20"/>
          </w:rPr>
          <w:t>https://www.humanrights.gov.au/sites/default/files/document/publication/Cost%20benefit%20analysis.pdf</w:t>
        </w:r>
      </w:hyperlink>
      <w:r>
        <w:rPr>
          <w:rFonts w:asciiTheme="majorHAnsi" w:hAnsiTheme="majorHAnsi" w:cstheme="majorHAnsi"/>
          <w:sz w:val="20"/>
        </w:rPr>
        <w:t xml:space="preserve"> </w:t>
      </w:r>
    </w:p>
  </w:footnote>
  <w:footnote w:id="104">
    <w:p w:rsidR="00DD224E" w:rsidRPr="00F555A5" w:rsidRDefault="00DD224E" w:rsidP="001C1253">
      <w:pPr>
        <w:pStyle w:val="NoSpacing"/>
        <w:rPr>
          <w:rFonts w:asciiTheme="majorHAnsi" w:hAnsiTheme="majorHAnsi" w:cstheme="majorHAnsi"/>
          <w:sz w:val="20"/>
        </w:rPr>
      </w:pPr>
      <w:r w:rsidRPr="00F555A5">
        <w:rPr>
          <w:rStyle w:val="FootnoteReference"/>
          <w:rFonts w:asciiTheme="majorHAnsi" w:hAnsiTheme="majorHAnsi" w:cstheme="majorHAnsi"/>
          <w:sz w:val="20"/>
        </w:rPr>
        <w:footnoteRef/>
      </w:r>
      <w:r w:rsidRPr="00F555A5">
        <w:rPr>
          <w:rFonts w:asciiTheme="majorHAnsi" w:hAnsiTheme="majorHAnsi" w:cstheme="majorHAnsi"/>
          <w:sz w:val="20"/>
        </w:rPr>
        <w:t xml:space="preserve"> Ibid. </w:t>
      </w:r>
    </w:p>
  </w:footnote>
  <w:footnote w:id="105">
    <w:p w:rsidR="00DD224E" w:rsidRPr="00F555A5" w:rsidRDefault="00DD224E" w:rsidP="001C1253">
      <w:pPr>
        <w:pStyle w:val="NoSpacing"/>
        <w:rPr>
          <w:rFonts w:asciiTheme="majorHAnsi" w:hAnsiTheme="majorHAnsi" w:cstheme="majorHAnsi"/>
          <w:sz w:val="20"/>
        </w:rPr>
      </w:pPr>
      <w:r w:rsidRPr="00F555A5">
        <w:rPr>
          <w:rStyle w:val="FootnoteReference"/>
          <w:rFonts w:asciiTheme="majorHAnsi" w:hAnsiTheme="majorHAnsi" w:cstheme="majorHAnsi"/>
          <w:color w:val="auto"/>
          <w:sz w:val="20"/>
        </w:rPr>
        <w:footnoteRef/>
      </w:r>
      <w:r w:rsidRPr="00F555A5">
        <w:rPr>
          <w:rFonts w:asciiTheme="majorHAnsi" w:hAnsiTheme="majorHAnsi" w:cstheme="majorHAnsi"/>
          <w:sz w:val="20"/>
        </w:rPr>
        <w:t xml:space="preserve"> See </w:t>
      </w:r>
      <w:r w:rsidRPr="00F555A5">
        <w:rPr>
          <w:rFonts w:asciiTheme="majorHAnsi" w:hAnsiTheme="majorHAnsi" w:cstheme="majorHAnsi"/>
          <w:i/>
          <w:sz w:val="20"/>
        </w:rPr>
        <w:t>Keenan v United Kingdom</w:t>
      </w:r>
      <w:r w:rsidRPr="00F555A5">
        <w:rPr>
          <w:rFonts w:asciiTheme="majorHAnsi" w:hAnsiTheme="majorHAnsi" w:cstheme="majorHAnsi"/>
          <w:sz w:val="20"/>
        </w:rPr>
        <w:t xml:space="preserve"> (2001) 33 EHRR 913. See also </w:t>
      </w:r>
      <w:r w:rsidRPr="00F555A5">
        <w:rPr>
          <w:rFonts w:asciiTheme="majorHAnsi" w:hAnsiTheme="majorHAnsi" w:cstheme="majorHAnsi"/>
          <w:i/>
          <w:sz w:val="20"/>
        </w:rPr>
        <w:t>Price v United Kingdom</w:t>
      </w:r>
      <w:r w:rsidRPr="00F555A5">
        <w:rPr>
          <w:rFonts w:asciiTheme="majorHAnsi" w:hAnsiTheme="majorHAnsi" w:cstheme="majorHAnsi"/>
          <w:sz w:val="20"/>
        </w:rPr>
        <w:t xml:space="preserve"> (2001) 34 EHRR 1285; </w:t>
      </w:r>
      <w:proofErr w:type="spellStart"/>
      <w:r w:rsidRPr="00F555A5">
        <w:rPr>
          <w:rFonts w:asciiTheme="majorHAnsi" w:hAnsiTheme="majorHAnsi" w:cstheme="majorHAnsi"/>
          <w:i/>
          <w:sz w:val="20"/>
        </w:rPr>
        <w:t>McGlinchey</w:t>
      </w:r>
      <w:proofErr w:type="spellEnd"/>
      <w:r w:rsidRPr="00F555A5">
        <w:rPr>
          <w:rFonts w:asciiTheme="majorHAnsi" w:hAnsiTheme="majorHAnsi" w:cstheme="majorHAnsi"/>
          <w:i/>
          <w:sz w:val="20"/>
        </w:rPr>
        <w:t xml:space="preserve"> v United Kingdom</w:t>
      </w:r>
      <w:r w:rsidRPr="00F555A5">
        <w:rPr>
          <w:rFonts w:asciiTheme="majorHAnsi" w:hAnsiTheme="majorHAnsi" w:cstheme="majorHAnsi"/>
          <w:sz w:val="20"/>
        </w:rPr>
        <w:t xml:space="preserve"> (2003) 37 EHRR 821; </w:t>
      </w:r>
      <w:proofErr w:type="spellStart"/>
      <w:r w:rsidRPr="00F555A5">
        <w:rPr>
          <w:rFonts w:asciiTheme="majorHAnsi" w:hAnsiTheme="majorHAnsi" w:cstheme="majorHAnsi"/>
          <w:i/>
          <w:sz w:val="20"/>
        </w:rPr>
        <w:t>Holomiov</w:t>
      </w:r>
      <w:proofErr w:type="spellEnd"/>
      <w:r w:rsidRPr="00F555A5">
        <w:rPr>
          <w:rFonts w:asciiTheme="majorHAnsi" w:hAnsiTheme="majorHAnsi" w:cstheme="majorHAnsi"/>
          <w:i/>
          <w:sz w:val="20"/>
        </w:rPr>
        <w:t xml:space="preserve"> v Moldova</w:t>
      </w:r>
      <w:r w:rsidRPr="00F555A5">
        <w:rPr>
          <w:rFonts w:asciiTheme="majorHAnsi" w:hAnsiTheme="majorHAnsi" w:cstheme="majorHAnsi"/>
          <w:sz w:val="20"/>
        </w:rPr>
        <w:t xml:space="preserve"> [2006] ECHR 30649/05; </w:t>
      </w:r>
      <w:proofErr w:type="spellStart"/>
      <w:r w:rsidRPr="00F555A5">
        <w:rPr>
          <w:rFonts w:asciiTheme="majorHAnsi" w:hAnsiTheme="majorHAnsi" w:cstheme="majorHAnsi"/>
          <w:i/>
          <w:sz w:val="20"/>
        </w:rPr>
        <w:t>Istratii</w:t>
      </w:r>
      <w:proofErr w:type="spellEnd"/>
      <w:r w:rsidRPr="00F555A5">
        <w:rPr>
          <w:rFonts w:asciiTheme="majorHAnsi" w:hAnsiTheme="majorHAnsi" w:cstheme="majorHAnsi"/>
          <w:i/>
          <w:sz w:val="20"/>
        </w:rPr>
        <w:t xml:space="preserve"> v Moldova</w:t>
      </w:r>
      <w:r w:rsidRPr="00F555A5">
        <w:rPr>
          <w:rFonts w:asciiTheme="majorHAnsi" w:hAnsiTheme="majorHAnsi" w:cstheme="majorHAnsi"/>
          <w:sz w:val="20"/>
        </w:rPr>
        <w:t xml:space="preserve"> [2007] ECHR 8721/05.</w:t>
      </w:r>
    </w:p>
  </w:footnote>
  <w:footnote w:id="106">
    <w:p w:rsidR="00156B6A" w:rsidRPr="007F11F0" w:rsidRDefault="00156B6A" w:rsidP="00156B6A">
      <w:pPr>
        <w:pStyle w:val="NoSpacing"/>
        <w:rPr>
          <w:rFonts w:asciiTheme="majorHAnsi" w:hAnsiTheme="majorHAnsi" w:cstheme="majorHAnsi"/>
          <w:sz w:val="20"/>
        </w:rPr>
      </w:pPr>
      <w:r w:rsidRPr="007F11F0">
        <w:rPr>
          <w:rStyle w:val="FootnoteReference"/>
          <w:rFonts w:asciiTheme="majorHAnsi" w:hAnsiTheme="majorHAnsi" w:cstheme="majorHAnsi"/>
          <w:sz w:val="20"/>
        </w:rPr>
        <w:footnoteRef/>
      </w:r>
      <w:r w:rsidRPr="007F11F0">
        <w:rPr>
          <w:rFonts w:asciiTheme="majorHAnsi" w:hAnsiTheme="majorHAnsi" w:cstheme="majorHAnsi"/>
          <w:sz w:val="20"/>
        </w:rPr>
        <w:t xml:space="preserve"> Frohmader, C., &amp; Sands, T., (2015) </w:t>
      </w:r>
      <w:proofErr w:type="spellStart"/>
      <w:r w:rsidRPr="007F11F0">
        <w:rPr>
          <w:rFonts w:asciiTheme="majorHAnsi" w:hAnsiTheme="majorHAnsi" w:cstheme="majorHAnsi"/>
          <w:sz w:val="20"/>
        </w:rPr>
        <w:t>op.cit</w:t>
      </w:r>
      <w:proofErr w:type="spellEnd"/>
      <w:r w:rsidRPr="007F11F0">
        <w:rPr>
          <w:rFonts w:asciiTheme="majorHAnsi" w:hAnsiTheme="majorHAnsi" w:cstheme="majorHAnsi"/>
          <w:sz w:val="20"/>
        </w:rPr>
        <w:t>., p.6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4B33"/>
    <w:multiLevelType w:val="hybridMultilevel"/>
    <w:tmpl w:val="391C473A"/>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
    <w:nsid w:val="08DF0589"/>
    <w:multiLevelType w:val="hybridMultilevel"/>
    <w:tmpl w:val="EF12497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E677FE"/>
    <w:multiLevelType w:val="hybridMultilevel"/>
    <w:tmpl w:val="328691DE"/>
    <w:lvl w:ilvl="0" w:tplc="99FCC5F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AD324A"/>
    <w:multiLevelType w:val="hybridMultilevel"/>
    <w:tmpl w:val="E5FC9EAC"/>
    <w:lvl w:ilvl="0" w:tplc="04090019">
      <w:start w:val="1"/>
      <w:numFmt w:val="lowerLetter"/>
      <w:lvlText w:val="%1."/>
      <w:lvlJc w:val="lef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
    <w:nsid w:val="0B71192B"/>
    <w:multiLevelType w:val="hybridMultilevel"/>
    <w:tmpl w:val="55505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0010F9"/>
    <w:multiLevelType w:val="hybridMultilevel"/>
    <w:tmpl w:val="D94CE07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034109"/>
    <w:multiLevelType w:val="hybridMultilevel"/>
    <w:tmpl w:val="E29AAE90"/>
    <w:lvl w:ilvl="0" w:tplc="04090019">
      <w:start w:val="1"/>
      <w:numFmt w:val="lowerLetter"/>
      <w:lvlText w:val="%1."/>
      <w:lvlJc w:val="lef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7">
    <w:nsid w:val="1F2F7D4C"/>
    <w:multiLevelType w:val="hybridMultilevel"/>
    <w:tmpl w:val="E548889E"/>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8">
    <w:nsid w:val="22025497"/>
    <w:multiLevelType w:val="hybridMultilevel"/>
    <w:tmpl w:val="15DE2594"/>
    <w:lvl w:ilvl="0" w:tplc="959ABF64">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C4697C"/>
    <w:multiLevelType w:val="multilevel"/>
    <w:tmpl w:val="02F0FEB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277F6872"/>
    <w:multiLevelType w:val="hybridMultilevel"/>
    <w:tmpl w:val="D058790A"/>
    <w:lvl w:ilvl="0" w:tplc="1C7299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7EE00E3"/>
    <w:multiLevelType w:val="hybridMultilevel"/>
    <w:tmpl w:val="132C0444"/>
    <w:lvl w:ilvl="0" w:tplc="0C090001">
      <w:start w:val="1"/>
      <w:numFmt w:val="bullet"/>
      <w:lvlText w:val=""/>
      <w:lvlJc w:val="left"/>
      <w:pPr>
        <w:ind w:left="988" w:hanging="360"/>
      </w:pPr>
      <w:rPr>
        <w:rFonts w:ascii="Symbol" w:hAnsi="Symbol" w:hint="default"/>
      </w:rPr>
    </w:lvl>
    <w:lvl w:ilvl="1" w:tplc="0C090003" w:tentative="1">
      <w:start w:val="1"/>
      <w:numFmt w:val="bullet"/>
      <w:lvlText w:val="o"/>
      <w:lvlJc w:val="left"/>
      <w:pPr>
        <w:ind w:left="1708" w:hanging="360"/>
      </w:pPr>
      <w:rPr>
        <w:rFonts w:ascii="Courier New" w:hAnsi="Courier New" w:cs="Courier New" w:hint="default"/>
      </w:rPr>
    </w:lvl>
    <w:lvl w:ilvl="2" w:tplc="0C090005" w:tentative="1">
      <w:start w:val="1"/>
      <w:numFmt w:val="bullet"/>
      <w:lvlText w:val=""/>
      <w:lvlJc w:val="left"/>
      <w:pPr>
        <w:ind w:left="2428" w:hanging="360"/>
      </w:pPr>
      <w:rPr>
        <w:rFonts w:ascii="Wingdings" w:hAnsi="Wingdings" w:hint="default"/>
      </w:rPr>
    </w:lvl>
    <w:lvl w:ilvl="3" w:tplc="0C090001" w:tentative="1">
      <w:start w:val="1"/>
      <w:numFmt w:val="bullet"/>
      <w:lvlText w:val=""/>
      <w:lvlJc w:val="left"/>
      <w:pPr>
        <w:ind w:left="3148" w:hanging="360"/>
      </w:pPr>
      <w:rPr>
        <w:rFonts w:ascii="Symbol" w:hAnsi="Symbol" w:hint="default"/>
      </w:rPr>
    </w:lvl>
    <w:lvl w:ilvl="4" w:tplc="0C090003" w:tentative="1">
      <w:start w:val="1"/>
      <w:numFmt w:val="bullet"/>
      <w:lvlText w:val="o"/>
      <w:lvlJc w:val="left"/>
      <w:pPr>
        <w:ind w:left="3868" w:hanging="360"/>
      </w:pPr>
      <w:rPr>
        <w:rFonts w:ascii="Courier New" w:hAnsi="Courier New" w:cs="Courier New" w:hint="default"/>
      </w:rPr>
    </w:lvl>
    <w:lvl w:ilvl="5" w:tplc="0C090005" w:tentative="1">
      <w:start w:val="1"/>
      <w:numFmt w:val="bullet"/>
      <w:lvlText w:val=""/>
      <w:lvlJc w:val="left"/>
      <w:pPr>
        <w:ind w:left="4588" w:hanging="360"/>
      </w:pPr>
      <w:rPr>
        <w:rFonts w:ascii="Wingdings" w:hAnsi="Wingdings" w:hint="default"/>
      </w:rPr>
    </w:lvl>
    <w:lvl w:ilvl="6" w:tplc="0C090001" w:tentative="1">
      <w:start w:val="1"/>
      <w:numFmt w:val="bullet"/>
      <w:lvlText w:val=""/>
      <w:lvlJc w:val="left"/>
      <w:pPr>
        <w:ind w:left="5308" w:hanging="360"/>
      </w:pPr>
      <w:rPr>
        <w:rFonts w:ascii="Symbol" w:hAnsi="Symbol" w:hint="default"/>
      </w:rPr>
    </w:lvl>
    <w:lvl w:ilvl="7" w:tplc="0C090003" w:tentative="1">
      <w:start w:val="1"/>
      <w:numFmt w:val="bullet"/>
      <w:lvlText w:val="o"/>
      <w:lvlJc w:val="left"/>
      <w:pPr>
        <w:ind w:left="6028" w:hanging="360"/>
      </w:pPr>
      <w:rPr>
        <w:rFonts w:ascii="Courier New" w:hAnsi="Courier New" w:cs="Courier New" w:hint="default"/>
      </w:rPr>
    </w:lvl>
    <w:lvl w:ilvl="8" w:tplc="0C090005" w:tentative="1">
      <w:start w:val="1"/>
      <w:numFmt w:val="bullet"/>
      <w:lvlText w:val=""/>
      <w:lvlJc w:val="left"/>
      <w:pPr>
        <w:ind w:left="6748" w:hanging="360"/>
      </w:pPr>
      <w:rPr>
        <w:rFonts w:ascii="Wingdings" w:hAnsi="Wingdings" w:hint="default"/>
      </w:rPr>
    </w:lvl>
  </w:abstractNum>
  <w:abstractNum w:abstractNumId="12">
    <w:nsid w:val="28E16C09"/>
    <w:multiLevelType w:val="hybridMultilevel"/>
    <w:tmpl w:val="56543620"/>
    <w:lvl w:ilvl="0" w:tplc="31DAD398">
      <w:numFmt w:val="bullet"/>
      <w:lvlText w:val="-"/>
      <w:lvlJc w:val="left"/>
      <w:pPr>
        <w:ind w:left="988" w:hanging="360"/>
      </w:pPr>
      <w:rPr>
        <w:rFonts w:ascii="Arial" w:eastAsia="Calibri" w:hAnsi="Arial" w:cs="Arial" w:hint="default"/>
      </w:rPr>
    </w:lvl>
    <w:lvl w:ilvl="1" w:tplc="0C090003" w:tentative="1">
      <w:start w:val="1"/>
      <w:numFmt w:val="bullet"/>
      <w:lvlText w:val="o"/>
      <w:lvlJc w:val="left"/>
      <w:pPr>
        <w:ind w:left="1708" w:hanging="360"/>
      </w:pPr>
      <w:rPr>
        <w:rFonts w:ascii="Courier New" w:hAnsi="Courier New" w:cs="Courier New" w:hint="default"/>
      </w:rPr>
    </w:lvl>
    <w:lvl w:ilvl="2" w:tplc="0C090005" w:tentative="1">
      <w:start w:val="1"/>
      <w:numFmt w:val="bullet"/>
      <w:lvlText w:val=""/>
      <w:lvlJc w:val="left"/>
      <w:pPr>
        <w:ind w:left="2428" w:hanging="360"/>
      </w:pPr>
      <w:rPr>
        <w:rFonts w:ascii="Wingdings" w:hAnsi="Wingdings" w:hint="default"/>
      </w:rPr>
    </w:lvl>
    <w:lvl w:ilvl="3" w:tplc="0C090001" w:tentative="1">
      <w:start w:val="1"/>
      <w:numFmt w:val="bullet"/>
      <w:lvlText w:val=""/>
      <w:lvlJc w:val="left"/>
      <w:pPr>
        <w:ind w:left="3148" w:hanging="360"/>
      </w:pPr>
      <w:rPr>
        <w:rFonts w:ascii="Symbol" w:hAnsi="Symbol" w:hint="default"/>
      </w:rPr>
    </w:lvl>
    <w:lvl w:ilvl="4" w:tplc="0C090003" w:tentative="1">
      <w:start w:val="1"/>
      <w:numFmt w:val="bullet"/>
      <w:lvlText w:val="o"/>
      <w:lvlJc w:val="left"/>
      <w:pPr>
        <w:ind w:left="3868" w:hanging="360"/>
      </w:pPr>
      <w:rPr>
        <w:rFonts w:ascii="Courier New" w:hAnsi="Courier New" w:cs="Courier New" w:hint="default"/>
      </w:rPr>
    </w:lvl>
    <w:lvl w:ilvl="5" w:tplc="0C090005" w:tentative="1">
      <w:start w:val="1"/>
      <w:numFmt w:val="bullet"/>
      <w:lvlText w:val=""/>
      <w:lvlJc w:val="left"/>
      <w:pPr>
        <w:ind w:left="4588" w:hanging="360"/>
      </w:pPr>
      <w:rPr>
        <w:rFonts w:ascii="Wingdings" w:hAnsi="Wingdings" w:hint="default"/>
      </w:rPr>
    </w:lvl>
    <w:lvl w:ilvl="6" w:tplc="0C090001" w:tentative="1">
      <w:start w:val="1"/>
      <w:numFmt w:val="bullet"/>
      <w:lvlText w:val=""/>
      <w:lvlJc w:val="left"/>
      <w:pPr>
        <w:ind w:left="5308" w:hanging="360"/>
      </w:pPr>
      <w:rPr>
        <w:rFonts w:ascii="Symbol" w:hAnsi="Symbol" w:hint="default"/>
      </w:rPr>
    </w:lvl>
    <w:lvl w:ilvl="7" w:tplc="0C090003" w:tentative="1">
      <w:start w:val="1"/>
      <w:numFmt w:val="bullet"/>
      <w:lvlText w:val="o"/>
      <w:lvlJc w:val="left"/>
      <w:pPr>
        <w:ind w:left="6028" w:hanging="360"/>
      </w:pPr>
      <w:rPr>
        <w:rFonts w:ascii="Courier New" w:hAnsi="Courier New" w:cs="Courier New" w:hint="default"/>
      </w:rPr>
    </w:lvl>
    <w:lvl w:ilvl="8" w:tplc="0C090005" w:tentative="1">
      <w:start w:val="1"/>
      <w:numFmt w:val="bullet"/>
      <w:lvlText w:val=""/>
      <w:lvlJc w:val="left"/>
      <w:pPr>
        <w:ind w:left="6748" w:hanging="360"/>
      </w:pPr>
      <w:rPr>
        <w:rFonts w:ascii="Wingdings" w:hAnsi="Wingdings" w:hint="default"/>
      </w:rPr>
    </w:lvl>
  </w:abstractNum>
  <w:abstractNum w:abstractNumId="13">
    <w:nsid w:val="2ACC02CF"/>
    <w:multiLevelType w:val="hybridMultilevel"/>
    <w:tmpl w:val="299467E6"/>
    <w:lvl w:ilvl="0" w:tplc="31DAD39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BC044A"/>
    <w:multiLevelType w:val="hybridMultilevel"/>
    <w:tmpl w:val="A2C866DA"/>
    <w:lvl w:ilvl="0" w:tplc="00010409">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D972B1C"/>
    <w:multiLevelType w:val="hybridMultilevel"/>
    <w:tmpl w:val="5B7E7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B04CFA"/>
    <w:multiLevelType w:val="hybridMultilevel"/>
    <w:tmpl w:val="97C25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9D67AE9"/>
    <w:multiLevelType w:val="hybridMultilevel"/>
    <w:tmpl w:val="2580E37C"/>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8">
    <w:nsid w:val="3E4068D5"/>
    <w:multiLevelType w:val="hybridMultilevel"/>
    <w:tmpl w:val="E81AC5B0"/>
    <w:lvl w:ilvl="0" w:tplc="04090019">
      <w:start w:val="1"/>
      <w:numFmt w:val="lowerLetter"/>
      <w:lvlText w:val="%1."/>
      <w:lvlJc w:val="left"/>
      <w:pPr>
        <w:ind w:left="53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F4E4CD2"/>
    <w:multiLevelType w:val="hybridMultilevel"/>
    <w:tmpl w:val="8E7EEBD6"/>
    <w:lvl w:ilvl="0" w:tplc="959ABF64">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122834"/>
    <w:multiLevelType w:val="hybridMultilevel"/>
    <w:tmpl w:val="7134647E"/>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1">
    <w:nsid w:val="42EC2553"/>
    <w:multiLevelType w:val="hybridMultilevel"/>
    <w:tmpl w:val="3692E7E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2">
    <w:nsid w:val="43C46FAD"/>
    <w:multiLevelType w:val="hybridMultilevel"/>
    <w:tmpl w:val="3834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7E1110"/>
    <w:multiLevelType w:val="multilevel"/>
    <w:tmpl w:val="35904D24"/>
    <w:lvl w:ilvl="0">
      <w:start w:val="1"/>
      <w:numFmt w:val="decimal"/>
      <w:lvlText w:val="%1."/>
      <w:lvlJc w:val="left"/>
      <w:pPr>
        <w:ind w:left="720" w:hanging="360"/>
      </w:pPr>
      <w:rPr>
        <w:rFonts w:hint="default"/>
      </w:rPr>
    </w:lvl>
    <w:lvl w:ilvl="1">
      <w:start w:val="5"/>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nsid w:val="4B6C205C"/>
    <w:multiLevelType w:val="hybridMultilevel"/>
    <w:tmpl w:val="7AC2D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3B40BD"/>
    <w:multiLevelType w:val="hybridMultilevel"/>
    <w:tmpl w:val="AA3C6E6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nsid w:val="501D2CE5"/>
    <w:multiLevelType w:val="hybridMultilevel"/>
    <w:tmpl w:val="0C8232B2"/>
    <w:lvl w:ilvl="0" w:tplc="0C090001">
      <w:start w:val="1"/>
      <w:numFmt w:val="bullet"/>
      <w:lvlText w:val=""/>
      <w:lvlJc w:val="left"/>
      <w:pPr>
        <w:ind w:left="786" w:hanging="360"/>
      </w:pPr>
      <w:rPr>
        <w:rFonts w:ascii="Symbol" w:hAnsi="Symbol" w:hint="default"/>
        <w:b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nsid w:val="51A27BB1"/>
    <w:multiLevelType w:val="hybridMultilevel"/>
    <w:tmpl w:val="ACCCAB5E"/>
    <w:lvl w:ilvl="0" w:tplc="715C4FB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4352AD"/>
    <w:multiLevelType w:val="hybridMultilevel"/>
    <w:tmpl w:val="61AC617C"/>
    <w:lvl w:ilvl="0" w:tplc="04090013">
      <w:start w:val="1"/>
      <w:numFmt w:val="upperRoman"/>
      <w:lvlText w:val="%1."/>
      <w:lvlJc w:val="righ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9">
    <w:nsid w:val="54A22137"/>
    <w:multiLevelType w:val="hybridMultilevel"/>
    <w:tmpl w:val="FA32D3CA"/>
    <w:lvl w:ilvl="0" w:tplc="A2CC0F9E">
      <w:start w:val="1"/>
      <w:numFmt w:val="decimal"/>
      <w:lvlText w:val="%1."/>
      <w:lvlJc w:val="left"/>
      <w:pPr>
        <w:ind w:left="786" w:hanging="360"/>
      </w:pPr>
      <w:rPr>
        <w:b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nsid w:val="58446219"/>
    <w:multiLevelType w:val="hybridMultilevel"/>
    <w:tmpl w:val="48A6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A7E6A13"/>
    <w:multiLevelType w:val="hybridMultilevel"/>
    <w:tmpl w:val="2CCACE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5B4351F9"/>
    <w:multiLevelType w:val="hybridMultilevel"/>
    <w:tmpl w:val="271E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2126E4"/>
    <w:multiLevelType w:val="hybridMultilevel"/>
    <w:tmpl w:val="8814085A"/>
    <w:lvl w:ilvl="0" w:tplc="7690F07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F6E5B4D"/>
    <w:multiLevelType w:val="hybridMultilevel"/>
    <w:tmpl w:val="38F09AA4"/>
    <w:lvl w:ilvl="0" w:tplc="518496E4">
      <w:numFmt w:val="bullet"/>
      <w:lvlText w:val="-"/>
      <w:lvlJc w:val="left"/>
      <w:pPr>
        <w:ind w:left="786" w:hanging="360"/>
      </w:pPr>
      <w:rPr>
        <w:rFonts w:ascii="Arial" w:eastAsia="Calibr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5">
    <w:nsid w:val="620C1F13"/>
    <w:multiLevelType w:val="hybridMultilevel"/>
    <w:tmpl w:val="C630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B8434C"/>
    <w:multiLevelType w:val="hybridMultilevel"/>
    <w:tmpl w:val="990275EC"/>
    <w:lvl w:ilvl="0" w:tplc="0C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D15C00"/>
    <w:multiLevelType w:val="multilevel"/>
    <w:tmpl w:val="38348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6F85DA5"/>
    <w:multiLevelType w:val="hybridMultilevel"/>
    <w:tmpl w:val="C84CB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73047D0"/>
    <w:multiLevelType w:val="hybridMultilevel"/>
    <w:tmpl w:val="61AEE568"/>
    <w:lvl w:ilvl="0" w:tplc="1C7299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7A612AA7"/>
    <w:multiLevelType w:val="hybridMultilevel"/>
    <w:tmpl w:val="10200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CF47C60"/>
    <w:multiLevelType w:val="hybridMultilevel"/>
    <w:tmpl w:val="E788F77A"/>
    <w:lvl w:ilvl="0" w:tplc="04090017">
      <w:start w:val="1"/>
      <w:numFmt w:val="lowerLetter"/>
      <w:lvlText w:val="%1)"/>
      <w:lvlJc w:val="left"/>
      <w:pPr>
        <w:ind w:left="1840" w:hanging="360"/>
      </w:pPr>
      <w:rPr>
        <w:rFonts w:hint="default"/>
      </w:rPr>
    </w:lvl>
    <w:lvl w:ilvl="1" w:tplc="04090019">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num w:numId="1">
    <w:abstractNumId w:val="41"/>
  </w:num>
  <w:num w:numId="2">
    <w:abstractNumId w:val="8"/>
  </w:num>
  <w:num w:numId="3">
    <w:abstractNumId w:val="19"/>
  </w:num>
  <w:num w:numId="4">
    <w:abstractNumId w:val="32"/>
  </w:num>
  <w:num w:numId="5">
    <w:abstractNumId w:val="22"/>
  </w:num>
  <w:num w:numId="6">
    <w:abstractNumId w:val="37"/>
  </w:num>
  <w:num w:numId="7">
    <w:abstractNumId w:val="20"/>
  </w:num>
  <w:num w:numId="8">
    <w:abstractNumId w:val="21"/>
  </w:num>
  <w:num w:numId="9">
    <w:abstractNumId w:val="10"/>
  </w:num>
  <w:num w:numId="10">
    <w:abstractNumId w:val="14"/>
  </w:num>
  <w:num w:numId="11">
    <w:abstractNumId w:val="7"/>
  </w:num>
  <w:num w:numId="12">
    <w:abstractNumId w:val="35"/>
  </w:num>
  <w:num w:numId="13">
    <w:abstractNumId w:val="36"/>
  </w:num>
  <w:num w:numId="14">
    <w:abstractNumId w:val="17"/>
  </w:num>
  <w:num w:numId="15">
    <w:abstractNumId w:val="6"/>
  </w:num>
  <w:num w:numId="16">
    <w:abstractNumId w:val="28"/>
  </w:num>
  <w:num w:numId="17">
    <w:abstractNumId w:val="3"/>
  </w:num>
  <w:num w:numId="18">
    <w:abstractNumId w:val="0"/>
  </w:num>
  <w:num w:numId="19">
    <w:abstractNumId w:val="39"/>
  </w:num>
  <w:num w:numId="20">
    <w:abstractNumId w:val="18"/>
  </w:num>
  <w:num w:numId="21">
    <w:abstractNumId w:val="30"/>
  </w:num>
  <w:num w:numId="22">
    <w:abstractNumId w:val="40"/>
  </w:num>
  <w:num w:numId="23">
    <w:abstractNumId w:val="13"/>
  </w:num>
  <w:num w:numId="24">
    <w:abstractNumId w:val="34"/>
  </w:num>
  <w:num w:numId="25">
    <w:abstractNumId w:val="11"/>
  </w:num>
  <w:num w:numId="26">
    <w:abstractNumId w:val="25"/>
  </w:num>
  <w:num w:numId="27">
    <w:abstractNumId w:val="5"/>
  </w:num>
  <w:num w:numId="28">
    <w:abstractNumId w:val="33"/>
  </w:num>
  <w:num w:numId="29">
    <w:abstractNumId w:val="23"/>
  </w:num>
  <w:num w:numId="30">
    <w:abstractNumId w:val="9"/>
  </w:num>
  <w:num w:numId="31">
    <w:abstractNumId w:val="24"/>
  </w:num>
  <w:num w:numId="32">
    <w:abstractNumId w:val="12"/>
  </w:num>
  <w:num w:numId="33">
    <w:abstractNumId w:val="27"/>
  </w:num>
  <w:num w:numId="34">
    <w:abstractNumId w:val="38"/>
  </w:num>
  <w:num w:numId="35">
    <w:abstractNumId w:val="29"/>
  </w:num>
  <w:num w:numId="36">
    <w:abstractNumId w:val="31"/>
  </w:num>
  <w:num w:numId="37">
    <w:abstractNumId w:val="15"/>
  </w:num>
  <w:num w:numId="38">
    <w:abstractNumId w:val="2"/>
  </w:num>
  <w:num w:numId="39">
    <w:abstractNumId w:val="16"/>
  </w:num>
  <w:num w:numId="40">
    <w:abstractNumId w:val="4"/>
  </w:num>
  <w:num w:numId="41">
    <w:abstractNumId w:val="26"/>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8F"/>
    <w:rsid w:val="000007B4"/>
    <w:rsid w:val="00006FD2"/>
    <w:rsid w:val="000078A6"/>
    <w:rsid w:val="00007C54"/>
    <w:rsid w:val="00007D92"/>
    <w:rsid w:val="000112F1"/>
    <w:rsid w:val="000153DE"/>
    <w:rsid w:val="00020736"/>
    <w:rsid w:val="0002456D"/>
    <w:rsid w:val="00034E7D"/>
    <w:rsid w:val="00045F9B"/>
    <w:rsid w:val="000536F2"/>
    <w:rsid w:val="00054651"/>
    <w:rsid w:val="00054943"/>
    <w:rsid w:val="00065194"/>
    <w:rsid w:val="00065CBE"/>
    <w:rsid w:val="00067C4D"/>
    <w:rsid w:val="00071AF7"/>
    <w:rsid w:val="0007408B"/>
    <w:rsid w:val="00082CC2"/>
    <w:rsid w:val="00097488"/>
    <w:rsid w:val="000A181E"/>
    <w:rsid w:val="000A3715"/>
    <w:rsid w:val="000A575A"/>
    <w:rsid w:val="000B02FC"/>
    <w:rsid w:val="000B0F1C"/>
    <w:rsid w:val="000B118F"/>
    <w:rsid w:val="000B4B78"/>
    <w:rsid w:val="000C4BD3"/>
    <w:rsid w:val="000D2A8C"/>
    <w:rsid w:val="000E5E80"/>
    <w:rsid w:val="001016B1"/>
    <w:rsid w:val="00110AA8"/>
    <w:rsid w:val="0011155F"/>
    <w:rsid w:val="00112DA2"/>
    <w:rsid w:val="00126F68"/>
    <w:rsid w:val="00127103"/>
    <w:rsid w:val="00130128"/>
    <w:rsid w:val="00153213"/>
    <w:rsid w:val="0015541F"/>
    <w:rsid w:val="00155F24"/>
    <w:rsid w:val="00156B6A"/>
    <w:rsid w:val="00157DCD"/>
    <w:rsid w:val="00160B18"/>
    <w:rsid w:val="00162FDD"/>
    <w:rsid w:val="00164962"/>
    <w:rsid w:val="00164AE7"/>
    <w:rsid w:val="0016555B"/>
    <w:rsid w:val="00165F6F"/>
    <w:rsid w:val="00175A6C"/>
    <w:rsid w:val="00175E06"/>
    <w:rsid w:val="00177131"/>
    <w:rsid w:val="001779E4"/>
    <w:rsid w:val="001833AB"/>
    <w:rsid w:val="00183414"/>
    <w:rsid w:val="001836AA"/>
    <w:rsid w:val="00194210"/>
    <w:rsid w:val="001A1139"/>
    <w:rsid w:val="001A236C"/>
    <w:rsid w:val="001A261E"/>
    <w:rsid w:val="001A51E2"/>
    <w:rsid w:val="001B0217"/>
    <w:rsid w:val="001B2856"/>
    <w:rsid w:val="001C1253"/>
    <w:rsid w:val="001C2724"/>
    <w:rsid w:val="001C4205"/>
    <w:rsid w:val="001C6396"/>
    <w:rsid w:val="001D0A50"/>
    <w:rsid w:val="001D1C49"/>
    <w:rsid w:val="001D477A"/>
    <w:rsid w:val="001D55BE"/>
    <w:rsid w:val="001E0FD5"/>
    <w:rsid w:val="001E2283"/>
    <w:rsid w:val="001E36F2"/>
    <w:rsid w:val="001F43C8"/>
    <w:rsid w:val="00200E7D"/>
    <w:rsid w:val="0020367E"/>
    <w:rsid w:val="002107B9"/>
    <w:rsid w:val="0021199E"/>
    <w:rsid w:val="002165F9"/>
    <w:rsid w:val="0021722F"/>
    <w:rsid w:val="0022384E"/>
    <w:rsid w:val="00227AEC"/>
    <w:rsid w:val="002352AA"/>
    <w:rsid w:val="00235596"/>
    <w:rsid w:val="00237225"/>
    <w:rsid w:val="00241A6C"/>
    <w:rsid w:val="0024376A"/>
    <w:rsid w:val="002450D4"/>
    <w:rsid w:val="00250EB4"/>
    <w:rsid w:val="002524BD"/>
    <w:rsid w:val="00256722"/>
    <w:rsid w:val="002713EA"/>
    <w:rsid w:val="002715D4"/>
    <w:rsid w:val="00275C1E"/>
    <w:rsid w:val="00276F93"/>
    <w:rsid w:val="0028083B"/>
    <w:rsid w:val="0028098D"/>
    <w:rsid w:val="00281DCE"/>
    <w:rsid w:val="00282BC4"/>
    <w:rsid w:val="00287DC5"/>
    <w:rsid w:val="002B12C1"/>
    <w:rsid w:val="002B60B0"/>
    <w:rsid w:val="002C379B"/>
    <w:rsid w:val="002C44EC"/>
    <w:rsid w:val="002C6F95"/>
    <w:rsid w:val="002D35C8"/>
    <w:rsid w:val="002D56D3"/>
    <w:rsid w:val="002E1DE9"/>
    <w:rsid w:val="002E3032"/>
    <w:rsid w:val="002F05EE"/>
    <w:rsid w:val="002F733D"/>
    <w:rsid w:val="00312D0D"/>
    <w:rsid w:val="00313826"/>
    <w:rsid w:val="00321A1C"/>
    <w:rsid w:val="00325DF4"/>
    <w:rsid w:val="0032641B"/>
    <w:rsid w:val="00330A6D"/>
    <w:rsid w:val="003342D9"/>
    <w:rsid w:val="00344176"/>
    <w:rsid w:val="003500A2"/>
    <w:rsid w:val="0035075B"/>
    <w:rsid w:val="00364170"/>
    <w:rsid w:val="003715F2"/>
    <w:rsid w:val="00371E7C"/>
    <w:rsid w:val="00373ED4"/>
    <w:rsid w:val="00390422"/>
    <w:rsid w:val="003966E9"/>
    <w:rsid w:val="003A0D48"/>
    <w:rsid w:val="003A1885"/>
    <w:rsid w:val="003B4B0C"/>
    <w:rsid w:val="003B5C28"/>
    <w:rsid w:val="003B5CE9"/>
    <w:rsid w:val="003B6985"/>
    <w:rsid w:val="003B72A1"/>
    <w:rsid w:val="003B740B"/>
    <w:rsid w:val="003C24BE"/>
    <w:rsid w:val="003C26A7"/>
    <w:rsid w:val="003C28DB"/>
    <w:rsid w:val="003E23AD"/>
    <w:rsid w:val="003E4E2E"/>
    <w:rsid w:val="003F6A66"/>
    <w:rsid w:val="003F779E"/>
    <w:rsid w:val="0040073F"/>
    <w:rsid w:val="004035C5"/>
    <w:rsid w:val="004077A8"/>
    <w:rsid w:val="004104AD"/>
    <w:rsid w:val="00410DB9"/>
    <w:rsid w:val="00413A24"/>
    <w:rsid w:val="00417A6D"/>
    <w:rsid w:val="004200FE"/>
    <w:rsid w:val="004239F2"/>
    <w:rsid w:val="0042579B"/>
    <w:rsid w:val="00426124"/>
    <w:rsid w:val="004343E9"/>
    <w:rsid w:val="00445B07"/>
    <w:rsid w:val="00453E8A"/>
    <w:rsid w:val="0045536A"/>
    <w:rsid w:val="00457F8C"/>
    <w:rsid w:val="00461CA9"/>
    <w:rsid w:val="004631D6"/>
    <w:rsid w:val="00464170"/>
    <w:rsid w:val="00465330"/>
    <w:rsid w:val="004678D9"/>
    <w:rsid w:val="00470005"/>
    <w:rsid w:val="0047321E"/>
    <w:rsid w:val="00473D03"/>
    <w:rsid w:val="00475420"/>
    <w:rsid w:val="00477593"/>
    <w:rsid w:val="004900EE"/>
    <w:rsid w:val="00493C0C"/>
    <w:rsid w:val="00494267"/>
    <w:rsid w:val="004952BA"/>
    <w:rsid w:val="004A6E8B"/>
    <w:rsid w:val="004B2408"/>
    <w:rsid w:val="004B7CFE"/>
    <w:rsid w:val="004C205E"/>
    <w:rsid w:val="004C388D"/>
    <w:rsid w:val="004C3A26"/>
    <w:rsid w:val="004D2AB4"/>
    <w:rsid w:val="004D48CC"/>
    <w:rsid w:val="004E13B4"/>
    <w:rsid w:val="004E7674"/>
    <w:rsid w:val="004F136C"/>
    <w:rsid w:val="004F2AA8"/>
    <w:rsid w:val="004F2FFB"/>
    <w:rsid w:val="00501567"/>
    <w:rsid w:val="00502193"/>
    <w:rsid w:val="005110C3"/>
    <w:rsid w:val="00522B51"/>
    <w:rsid w:val="00525979"/>
    <w:rsid w:val="00540127"/>
    <w:rsid w:val="00545DA9"/>
    <w:rsid w:val="00553AF4"/>
    <w:rsid w:val="0055471D"/>
    <w:rsid w:val="00563B34"/>
    <w:rsid w:val="00565420"/>
    <w:rsid w:val="00565494"/>
    <w:rsid w:val="00566387"/>
    <w:rsid w:val="0057345F"/>
    <w:rsid w:val="005876AD"/>
    <w:rsid w:val="005909CC"/>
    <w:rsid w:val="005941EE"/>
    <w:rsid w:val="005948D8"/>
    <w:rsid w:val="00594FAD"/>
    <w:rsid w:val="005A2E4B"/>
    <w:rsid w:val="005B3F09"/>
    <w:rsid w:val="005C40D1"/>
    <w:rsid w:val="005C5D7E"/>
    <w:rsid w:val="005D1B9B"/>
    <w:rsid w:val="005D3500"/>
    <w:rsid w:val="005D4F7A"/>
    <w:rsid w:val="005E1617"/>
    <w:rsid w:val="005E1EDE"/>
    <w:rsid w:val="005E2197"/>
    <w:rsid w:val="005E7622"/>
    <w:rsid w:val="005F5685"/>
    <w:rsid w:val="005F604A"/>
    <w:rsid w:val="005F7875"/>
    <w:rsid w:val="00613390"/>
    <w:rsid w:val="006211B9"/>
    <w:rsid w:val="00626B9F"/>
    <w:rsid w:val="00635983"/>
    <w:rsid w:val="00636F4F"/>
    <w:rsid w:val="00642383"/>
    <w:rsid w:val="00644798"/>
    <w:rsid w:val="0064555B"/>
    <w:rsid w:val="0064639D"/>
    <w:rsid w:val="00654DE8"/>
    <w:rsid w:val="00664B8B"/>
    <w:rsid w:val="006662B0"/>
    <w:rsid w:val="00666576"/>
    <w:rsid w:val="0067247D"/>
    <w:rsid w:val="00674143"/>
    <w:rsid w:val="00680446"/>
    <w:rsid w:val="00693005"/>
    <w:rsid w:val="006B18B4"/>
    <w:rsid w:val="006C12B3"/>
    <w:rsid w:val="006C226C"/>
    <w:rsid w:val="006C3799"/>
    <w:rsid w:val="006C477C"/>
    <w:rsid w:val="006C66A1"/>
    <w:rsid w:val="006D0D28"/>
    <w:rsid w:val="006D1898"/>
    <w:rsid w:val="006D1CD3"/>
    <w:rsid w:val="006D5B80"/>
    <w:rsid w:val="006F1DCD"/>
    <w:rsid w:val="006F3C9C"/>
    <w:rsid w:val="0072298C"/>
    <w:rsid w:val="007236DC"/>
    <w:rsid w:val="007248F1"/>
    <w:rsid w:val="007268F2"/>
    <w:rsid w:val="00751782"/>
    <w:rsid w:val="00753E91"/>
    <w:rsid w:val="007556B3"/>
    <w:rsid w:val="007572BE"/>
    <w:rsid w:val="00773E13"/>
    <w:rsid w:val="007A5D76"/>
    <w:rsid w:val="007B0293"/>
    <w:rsid w:val="007B0305"/>
    <w:rsid w:val="007B4918"/>
    <w:rsid w:val="007B5A1C"/>
    <w:rsid w:val="007B67C4"/>
    <w:rsid w:val="007C14BB"/>
    <w:rsid w:val="007C278B"/>
    <w:rsid w:val="007D0A39"/>
    <w:rsid w:val="007D2F70"/>
    <w:rsid w:val="007D55D7"/>
    <w:rsid w:val="007D78B9"/>
    <w:rsid w:val="007E10AC"/>
    <w:rsid w:val="007E1DD6"/>
    <w:rsid w:val="007E6CF4"/>
    <w:rsid w:val="007F11F0"/>
    <w:rsid w:val="007F3B61"/>
    <w:rsid w:val="00802A3D"/>
    <w:rsid w:val="00805040"/>
    <w:rsid w:val="00805A53"/>
    <w:rsid w:val="008216EF"/>
    <w:rsid w:val="008264F6"/>
    <w:rsid w:val="008530E8"/>
    <w:rsid w:val="00853153"/>
    <w:rsid w:val="008533C7"/>
    <w:rsid w:val="00856BE1"/>
    <w:rsid w:val="00864F4D"/>
    <w:rsid w:val="008664D4"/>
    <w:rsid w:val="00880078"/>
    <w:rsid w:val="00880345"/>
    <w:rsid w:val="008808FD"/>
    <w:rsid w:val="00882AA6"/>
    <w:rsid w:val="008835B3"/>
    <w:rsid w:val="00892AB3"/>
    <w:rsid w:val="008979A4"/>
    <w:rsid w:val="008A2B43"/>
    <w:rsid w:val="008A3CE4"/>
    <w:rsid w:val="008A580A"/>
    <w:rsid w:val="008B06E1"/>
    <w:rsid w:val="008B3191"/>
    <w:rsid w:val="008B4831"/>
    <w:rsid w:val="008C12A6"/>
    <w:rsid w:val="008D0E1A"/>
    <w:rsid w:val="008D2854"/>
    <w:rsid w:val="008D41C7"/>
    <w:rsid w:val="008D45EB"/>
    <w:rsid w:val="008F251F"/>
    <w:rsid w:val="008F49A5"/>
    <w:rsid w:val="008F5798"/>
    <w:rsid w:val="009012F4"/>
    <w:rsid w:val="0090478B"/>
    <w:rsid w:val="0090552B"/>
    <w:rsid w:val="009064E7"/>
    <w:rsid w:val="00906CE1"/>
    <w:rsid w:val="00916266"/>
    <w:rsid w:val="00917EC2"/>
    <w:rsid w:val="00933A11"/>
    <w:rsid w:val="00933FF4"/>
    <w:rsid w:val="00935762"/>
    <w:rsid w:val="00936674"/>
    <w:rsid w:val="0094448F"/>
    <w:rsid w:val="0094720E"/>
    <w:rsid w:val="009654E4"/>
    <w:rsid w:val="00972DB2"/>
    <w:rsid w:val="00976278"/>
    <w:rsid w:val="00984866"/>
    <w:rsid w:val="009854D2"/>
    <w:rsid w:val="00986CD2"/>
    <w:rsid w:val="009872B8"/>
    <w:rsid w:val="00990547"/>
    <w:rsid w:val="00990EC4"/>
    <w:rsid w:val="00992459"/>
    <w:rsid w:val="009A2411"/>
    <w:rsid w:val="009A73E4"/>
    <w:rsid w:val="009B223C"/>
    <w:rsid w:val="009B5044"/>
    <w:rsid w:val="009B6118"/>
    <w:rsid w:val="009C1E24"/>
    <w:rsid w:val="009C2C3D"/>
    <w:rsid w:val="009D017A"/>
    <w:rsid w:val="009D1194"/>
    <w:rsid w:val="009D312C"/>
    <w:rsid w:val="009D7041"/>
    <w:rsid w:val="009E021D"/>
    <w:rsid w:val="009E0567"/>
    <w:rsid w:val="009E3E23"/>
    <w:rsid w:val="009F14FF"/>
    <w:rsid w:val="009F1E18"/>
    <w:rsid w:val="009F1F1F"/>
    <w:rsid w:val="009F5334"/>
    <w:rsid w:val="009F6C73"/>
    <w:rsid w:val="009F7A89"/>
    <w:rsid w:val="00A04DDD"/>
    <w:rsid w:val="00A10736"/>
    <w:rsid w:val="00A13E2C"/>
    <w:rsid w:val="00A1675D"/>
    <w:rsid w:val="00A21CFA"/>
    <w:rsid w:val="00A22094"/>
    <w:rsid w:val="00A2525C"/>
    <w:rsid w:val="00A311D6"/>
    <w:rsid w:val="00A32C5C"/>
    <w:rsid w:val="00A34D6B"/>
    <w:rsid w:val="00A553D7"/>
    <w:rsid w:val="00A60794"/>
    <w:rsid w:val="00A637DA"/>
    <w:rsid w:val="00A7439E"/>
    <w:rsid w:val="00A74425"/>
    <w:rsid w:val="00A764EE"/>
    <w:rsid w:val="00A77405"/>
    <w:rsid w:val="00A91929"/>
    <w:rsid w:val="00A9380A"/>
    <w:rsid w:val="00A9420C"/>
    <w:rsid w:val="00AA32AA"/>
    <w:rsid w:val="00AA5F8F"/>
    <w:rsid w:val="00AB7C65"/>
    <w:rsid w:val="00AC1B76"/>
    <w:rsid w:val="00AC6515"/>
    <w:rsid w:val="00AD3CAB"/>
    <w:rsid w:val="00AD4F51"/>
    <w:rsid w:val="00AD74D1"/>
    <w:rsid w:val="00AD754C"/>
    <w:rsid w:val="00AE0908"/>
    <w:rsid w:val="00AE5507"/>
    <w:rsid w:val="00AE6DFD"/>
    <w:rsid w:val="00AF3763"/>
    <w:rsid w:val="00AF5787"/>
    <w:rsid w:val="00AF5A21"/>
    <w:rsid w:val="00AF745D"/>
    <w:rsid w:val="00B01695"/>
    <w:rsid w:val="00B07415"/>
    <w:rsid w:val="00B11871"/>
    <w:rsid w:val="00B16808"/>
    <w:rsid w:val="00B23F74"/>
    <w:rsid w:val="00B367A9"/>
    <w:rsid w:val="00B410C4"/>
    <w:rsid w:val="00B41179"/>
    <w:rsid w:val="00B42AB3"/>
    <w:rsid w:val="00B44AFD"/>
    <w:rsid w:val="00B600DA"/>
    <w:rsid w:val="00B6170D"/>
    <w:rsid w:val="00B63279"/>
    <w:rsid w:val="00B6731B"/>
    <w:rsid w:val="00B71422"/>
    <w:rsid w:val="00B71789"/>
    <w:rsid w:val="00B73178"/>
    <w:rsid w:val="00B76264"/>
    <w:rsid w:val="00B80E1B"/>
    <w:rsid w:val="00B81910"/>
    <w:rsid w:val="00B82097"/>
    <w:rsid w:val="00B850DC"/>
    <w:rsid w:val="00B94C2C"/>
    <w:rsid w:val="00BA50AF"/>
    <w:rsid w:val="00BB01D4"/>
    <w:rsid w:val="00BB0778"/>
    <w:rsid w:val="00BB3435"/>
    <w:rsid w:val="00BC0329"/>
    <w:rsid w:val="00BC0D19"/>
    <w:rsid w:val="00BC1FDF"/>
    <w:rsid w:val="00BC5113"/>
    <w:rsid w:val="00BD002D"/>
    <w:rsid w:val="00BD4270"/>
    <w:rsid w:val="00BE6811"/>
    <w:rsid w:val="00BF10AD"/>
    <w:rsid w:val="00BF5DBE"/>
    <w:rsid w:val="00BF6522"/>
    <w:rsid w:val="00BF659A"/>
    <w:rsid w:val="00C065D8"/>
    <w:rsid w:val="00C0716E"/>
    <w:rsid w:val="00C129B8"/>
    <w:rsid w:val="00C2465F"/>
    <w:rsid w:val="00C25DD8"/>
    <w:rsid w:val="00C3384A"/>
    <w:rsid w:val="00C359D9"/>
    <w:rsid w:val="00C42560"/>
    <w:rsid w:val="00C429A1"/>
    <w:rsid w:val="00C437E2"/>
    <w:rsid w:val="00C54514"/>
    <w:rsid w:val="00C554EA"/>
    <w:rsid w:val="00C57BE7"/>
    <w:rsid w:val="00C61393"/>
    <w:rsid w:val="00C63594"/>
    <w:rsid w:val="00C63B9C"/>
    <w:rsid w:val="00C644C7"/>
    <w:rsid w:val="00C673EA"/>
    <w:rsid w:val="00C718CF"/>
    <w:rsid w:val="00C72674"/>
    <w:rsid w:val="00C7328A"/>
    <w:rsid w:val="00C7656B"/>
    <w:rsid w:val="00C83EB8"/>
    <w:rsid w:val="00C84698"/>
    <w:rsid w:val="00C86982"/>
    <w:rsid w:val="00C86FAC"/>
    <w:rsid w:val="00C9037A"/>
    <w:rsid w:val="00C933FE"/>
    <w:rsid w:val="00C940EB"/>
    <w:rsid w:val="00C94BDC"/>
    <w:rsid w:val="00CA0CF6"/>
    <w:rsid w:val="00CA3543"/>
    <w:rsid w:val="00CA5453"/>
    <w:rsid w:val="00CA7AFE"/>
    <w:rsid w:val="00CB67BC"/>
    <w:rsid w:val="00CB6D86"/>
    <w:rsid w:val="00CC1161"/>
    <w:rsid w:val="00CC3771"/>
    <w:rsid w:val="00CC505F"/>
    <w:rsid w:val="00CD3FBA"/>
    <w:rsid w:val="00CD6457"/>
    <w:rsid w:val="00CE47EE"/>
    <w:rsid w:val="00CE5CDF"/>
    <w:rsid w:val="00CE7C83"/>
    <w:rsid w:val="00CF2C1A"/>
    <w:rsid w:val="00CF4A9E"/>
    <w:rsid w:val="00D03392"/>
    <w:rsid w:val="00D0755D"/>
    <w:rsid w:val="00D140A0"/>
    <w:rsid w:val="00D1734C"/>
    <w:rsid w:val="00D20574"/>
    <w:rsid w:val="00D2107F"/>
    <w:rsid w:val="00D24A18"/>
    <w:rsid w:val="00D255B0"/>
    <w:rsid w:val="00D2639A"/>
    <w:rsid w:val="00D33A7C"/>
    <w:rsid w:val="00D35C87"/>
    <w:rsid w:val="00D36A9C"/>
    <w:rsid w:val="00D45DF8"/>
    <w:rsid w:val="00D50435"/>
    <w:rsid w:val="00D506E4"/>
    <w:rsid w:val="00D509C8"/>
    <w:rsid w:val="00D611BA"/>
    <w:rsid w:val="00D65CFB"/>
    <w:rsid w:val="00D80B17"/>
    <w:rsid w:val="00D8122D"/>
    <w:rsid w:val="00D81B1E"/>
    <w:rsid w:val="00D82136"/>
    <w:rsid w:val="00D854A3"/>
    <w:rsid w:val="00D86A7F"/>
    <w:rsid w:val="00D91444"/>
    <w:rsid w:val="00D9476B"/>
    <w:rsid w:val="00DA389D"/>
    <w:rsid w:val="00DA38C4"/>
    <w:rsid w:val="00DA5883"/>
    <w:rsid w:val="00DA5A5E"/>
    <w:rsid w:val="00DA5B3D"/>
    <w:rsid w:val="00DA63C1"/>
    <w:rsid w:val="00DB1F34"/>
    <w:rsid w:val="00DB68D8"/>
    <w:rsid w:val="00DB7A17"/>
    <w:rsid w:val="00DB7D90"/>
    <w:rsid w:val="00DB7FC4"/>
    <w:rsid w:val="00DC215F"/>
    <w:rsid w:val="00DC3B18"/>
    <w:rsid w:val="00DC3F1D"/>
    <w:rsid w:val="00DC47DE"/>
    <w:rsid w:val="00DD052E"/>
    <w:rsid w:val="00DD1C0C"/>
    <w:rsid w:val="00DD224E"/>
    <w:rsid w:val="00DE1A27"/>
    <w:rsid w:val="00DE23C6"/>
    <w:rsid w:val="00E02677"/>
    <w:rsid w:val="00E03B73"/>
    <w:rsid w:val="00E07A69"/>
    <w:rsid w:val="00E14E66"/>
    <w:rsid w:val="00E167DF"/>
    <w:rsid w:val="00E22E06"/>
    <w:rsid w:val="00E24E09"/>
    <w:rsid w:val="00E271AB"/>
    <w:rsid w:val="00E31C7D"/>
    <w:rsid w:val="00E33FB8"/>
    <w:rsid w:val="00E37A32"/>
    <w:rsid w:val="00E420FD"/>
    <w:rsid w:val="00E449BF"/>
    <w:rsid w:val="00E46831"/>
    <w:rsid w:val="00E65E2F"/>
    <w:rsid w:val="00E73A7D"/>
    <w:rsid w:val="00E76CFC"/>
    <w:rsid w:val="00E8597D"/>
    <w:rsid w:val="00E86F6B"/>
    <w:rsid w:val="00E95DAE"/>
    <w:rsid w:val="00EA0F5B"/>
    <w:rsid w:val="00EA492E"/>
    <w:rsid w:val="00EA7D01"/>
    <w:rsid w:val="00EB5495"/>
    <w:rsid w:val="00EB6781"/>
    <w:rsid w:val="00EC4E6B"/>
    <w:rsid w:val="00ED3132"/>
    <w:rsid w:val="00ED474C"/>
    <w:rsid w:val="00ED6873"/>
    <w:rsid w:val="00EE3442"/>
    <w:rsid w:val="00EE50B7"/>
    <w:rsid w:val="00EF266E"/>
    <w:rsid w:val="00EF2D37"/>
    <w:rsid w:val="00EF381E"/>
    <w:rsid w:val="00EF77FE"/>
    <w:rsid w:val="00F01B40"/>
    <w:rsid w:val="00F03641"/>
    <w:rsid w:val="00F046D0"/>
    <w:rsid w:val="00F07427"/>
    <w:rsid w:val="00F114B7"/>
    <w:rsid w:val="00F13F1F"/>
    <w:rsid w:val="00F14C5B"/>
    <w:rsid w:val="00F236C7"/>
    <w:rsid w:val="00F23D97"/>
    <w:rsid w:val="00F35483"/>
    <w:rsid w:val="00F3765A"/>
    <w:rsid w:val="00F3793E"/>
    <w:rsid w:val="00F42384"/>
    <w:rsid w:val="00F45914"/>
    <w:rsid w:val="00F50C26"/>
    <w:rsid w:val="00F50E54"/>
    <w:rsid w:val="00F53F2F"/>
    <w:rsid w:val="00F555A5"/>
    <w:rsid w:val="00F60410"/>
    <w:rsid w:val="00F61FC3"/>
    <w:rsid w:val="00F83FE7"/>
    <w:rsid w:val="00F84DB1"/>
    <w:rsid w:val="00F85ADE"/>
    <w:rsid w:val="00F85CB4"/>
    <w:rsid w:val="00F96B29"/>
    <w:rsid w:val="00FB22E9"/>
    <w:rsid w:val="00FB4012"/>
    <w:rsid w:val="00FC0F8D"/>
    <w:rsid w:val="00FC11B1"/>
    <w:rsid w:val="00FC145A"/>
    <w:rsid w:val="00FC2062"/>
    <w:rsid w:val="00FC4449"/>
    <w:rsid w:val="00FC761F"/>
    <w:rsid w:val="00FD0DAB"/>
    <w:rsid w:val="00FD134E"/>
    <w:rsid w:val="00FD1ED3"/>
    <w:rsid w:val="00FD29B4"/>
    <w:rsid w:val="00FD430E"/>
    <w:rsid w:val="00FD5965"/>
    <w:rsid w:val="00FD72C2"/>
    <w:rsid w:val="00FE42C2"/>
    <w:rsid w:val="00FF28A2"/>
    <w:rsid w:val="00FF38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48F"/>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34E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C12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1253"/>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B0217"/>
    <w:pPr>
      <w:keepNext/>
      <w:spacing w:after="0" w:line="240" w:lineRule="auto"/>
      <w:ind w:left="360"/>
      <w:jc w:val="right"/>
      <w:outlineLvl w:val="6"/>
    </w:pPr>
    <w:rPr>
      <w:rFonts w:ascii="Arial" w:eastAsia="Times New Roman" w:hAnsi="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448F"/>
    <w:pPr>
      <w:ind w:left="720"/>
      <w:contextualSpacing/>
    </w:pPr>
  </w:style>
  <w:style w:type="character" w:styleId="Hyperlink">
    <w:name w:val="Hyperlink"/>
    <w:uiPriority w:val="99"/>
    <w:unhideWhenUsed/>
    <w:rsid w:val="0094448F"/>
    <w:rPr>
      <w:color w:val="0000FF"/>
      <w:u w:val="single"/>
    </w:rPr>
  </w:style>
  <w:style w:type="character" w:customStyle="1" w:styleId="ListParagraphChar">
    <w:name w:val="List Paragraph Char"/>
    <w:link w:val="ListParagraph"/>
    <w:uiPriority w:val="34"/>
    <w:rsid w:val="0094448F"/>
    <w:rPr>
      <w:rFonts w:ascii="Calibri" w:eastAsia="Calibri" w:hAnsi="Calibri" w:cs="Times New Roman"/>
      <w:sz w:val="22"/>
      <w:szCs w:val="22"/>
    </w:rPr>
  </w:style>
  <w:style w:type="table" w:styleId="TableGrid">
    <w:name w:val="Table Grid"/>
    <w:basedOn w:val="TableNormal"/>
    <w:uiPriority w:val="59"/>
    <w:rsid w:val="0094448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448F"/>
    <w:pPr>
      <w:autoSpaceDE w:val="0"/>
      <w:autoSpaceDN w:val="0"/>
      <w:adjustRightInd w:val="0"/>
    </w:pPr>
    <w:rPr>
      <w:rFonts w:ascii="Arial" w:eastAsiaTheme="minorHAnsi" w:hAnsi="Arial" w:cs="Arial"/>
      <w:color w:val="000000"/>
    </w:r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Text Char Char Char Char Char Char"/>
    <w:basedOn w:val="Normal"/>
    <w:link w:val="FootnoteTextChar"/>
    <w:uiPriority w:val="99"/>
    <w:unhideWhenUsed/>
    <w:qFormat/>
    <w:rsid w:val="0094448F"/>
    <w:pPr>
      <w:spacing w:after="0" w:line="240" w:lineRule="auto"/>
    </w:pPr>
    <w:rPr>
      <w:sz w:val="24"/>
      <w:szCs w:val="24"/>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rsid w:val="0094448F"/>
    <w:rPr>
      <w:rFonts w:ascii="Calibri" w:eastAsia="Calibri" w:hAnsi="Calibri" w:cs="Times New Roman"/>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basedOn w:val="DefaultParagraphFont"/>
    <w:link w:val="4GCharCharChar"/>
    <w:uiPriority w:val="99"/>
    <w:unhideWhenUsed/>
    <w:rsid w:val="0094448F"/>
    <w:rPr>
      <w:vertAlign w:val="superscript"/>
    </w:rPr>
  </w:style>
  <w:style w:type="paragraph" w:styleId="BalloonText">
    <w:name w:val="Balloon Text"/>
    <w:basedOn w:val="Normal"/>
    <w:link w:val="BalloonTextChar"/>
    <w:uiPriority w:val="99"/>
    <w:semiHidden/>
    <w:unhideWhenUsed/>
    <w:rsid w:val="009444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48F"/>
    <w:rPr>
      <w:rFonts w:ascii="Lucida Grande" w:eastAsia="Calibri" w:hAnsi="Lucida Grande" w:cs="Lucida Grande"/>
      <w:sz w:val="18"/>
      <w:szCs w:val="18"/>
    </w:rPr>
  </w:style>
  <w:style w:type="character" w:styleId="FollowedHyperlink">
    <w:name w:val="FollowedHyperlink"/>
    <w:basedOn w:val="DefaultParagraphFont"/>
    <w:uiPriority w:val="99"/>
    <w:semiHidden/>
    <w:unhideWhenUsed/>
    <w:rsid w:val="00FC145A"/>
    <w:rPr>
      <w:color w:val="800080" w:themeColor="followedHyperlink"/>
      <w:u w:val="single"/>
    </w:rPr>
  </w:style>
  <w:style w:type="paragraph" w:styleId="NoSpacing">
    <w:name w:val="No Spacing"/>
    <w:basedOn w:val="Normal"/>
    <w:next w:val="Normal"/>
    <w:uiPriority w:val="1"/>
    <w:qFormat/>
    <w:rsid w:val="00165F6F"/>
    <w:pPr>
      <w:spacing w:after="0" w:line="240" w:lineRule="auto"/>
      <w:jc w:val="both"/>
    </w:pPr>
    <w:rPr>
      <w:rFonts w:ascii="Times New Roman" w:eastAsiaTheme="minorEastAsia" w:hAnsi="Times New Roman" w:cs="Calibri"/>
      <w:bCs/>
      <w:color w:val="000000" w:themeColor="text1"/>
      <w:sz w:val="24"/>
      <w:szCs w:val="20"/>
      <w:lang w:val="en-US" w:eastAsia="en-AU"/>
    </w:rPr>
  </w:style>
  <w:style w:type="character" w:styleId="Strong">
    <w:name w:val="Strong"/>
    <w:basedOn w:val="DefaultParagraphFont"/>
    <w:uiPriority w:val="22"/>
    <w:qFormat/>
    <w:rsid w:val="002E1DE9"/>
    <w:rPr>
      <w:b/>
      <w:bCs/>
    </w:rPr>
  </w:style>
  <w:style w:type="paragraph" w:styleId="Footer">
    <w:name w:val="footer"/>
    <w:basedOn w:val="Normal"/>
    <w:link w:val="FooterChar"/>
    <w:uiPriority w:val="99"/>
    <w:unhideWhenUsed/>
    <w:rsid w:val="00D914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1444"/>
    <w:rPr>
      <w:rFonts w:ascii="Calibri" w:eastAsia="Calibri" w:hAnsi="Calibri" w:cs="Times New Roman"/>
      <w:sz w:val="22"/>
      <w:szCs w:val="22"/>
    </w:rPr>
  </w:style>
  <w:style w:type="character" w:styleId="PageNumber">
    <w:name w:val="page number"/>
    <w:basedOn w:val="DefaultParagraphFont"/>
    <w:uiPriority w:val="99"/>
    <w:semiHidden/>
    <w:unhideWhenUsed/>
    <w:rsid w:val="00D91444"/>
  </w:style>
  <w:style w:type="paragraph" w:styleId="ListBullet">
    <w:name w:val="List Bullet"/>
    <w:basedOn w:val="Normal"/>
    <w:uiPriority w:val="1"/>
    <w:qFormat/>
    <w:rsid w:val="006C12B3"/>
    <w:pPr>
      <w:tabs>
        <w:tab w:val="left" w:pos="170"/>
      </w:tabs>
      <w:spacing w:before="120" w:after="180" w:line="280" w:lineRule="atLeast"/>
    </w:pPr>
    <w:rPr>
      <w:rFonts w:ascii="Arial" w:eastAsia="Times New Roman" w:hAnsi="Arial"/>
      <w:spacing w:val="4"/>
      <w:sz w:val="24"/>
      <w:szCs w:val="24"/>
      <w:lang w:eastAsia="en-AU"/>
    </w:rPr>
  </w:style>
  <w:style w:type="paragraph" w:styleId="Header">
    <w:name w:val="header"/>
    <w:basedOn w:val="Normal"/>
    <w:link w:val="HeaderChar"/>
    <w:uiPriority w:val="99"/>
    <w:unhideWhenUsed/>
    <w:rsid w:val="0055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71D"/>
    <w:rPr>
      <w:rFonts w:ascii="Calibri" w:eastAsia="Calibri" w:hAnsi="Calibri" w:cs="Times New Roman"/>
      <w:sz w:val="22"/>
      <w:szCs w:val="22"/>
    </w:rPr>
  </w:style>
  <w:style w:type="character" w:customStyle="1" w:styleId="Heading7Char">
    <w:name w:val="Heading 7 Char"/>
    <w:basedOn w:val="DefaultParagraphFont"/>
    <w:link w:val="Heading7"/>
    <w:rsid w:val="001B0217"/>
    <w:rPr>
      <w:rFonts w:ascii="Arial" w:eastAsia="Times New Roman" w:hAnsi="Arial" w:cs="Times New Roman"/>
      <w:b/>
      <w:bCs/>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352AA"/>
    <w:pPr>
      <w:spacing w:after="160" w:line="240" w:lineRule="exact"/>
      <w:jc w:val="both"/>
    </w:pPr>
    <w:rPr>
      <w:rFonts w:asciiTheme="minorHAnsi" w:eastAsiaTheme="minorEastAsia" w:hAnsiTheme="minorHAnsi" w:cstheme="minorBidi"/>
      <w:sz w:val="24"/>
      <w:szCs w:val="24"/>
      <w:vertAlign w:val="superscript"/>
    </w:rPr>
  </w:style>
  <w:style w:type="character" w:customStyle="1" w:styleId="Heading1Char">
    <w:name w:val="Heading 1 Char"/>
    <w:basedOn w:val="DefaultParagraphFont"/>
    <w:link w:val="Heading1"/>
    <w:uiPriority w:val="9"/>
    <w:rsid w:val="00034E7D"/>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5D4F7A"/>
    <w:pPr>
      <w:tabs>
        <w:tab w:val="right" w:leader="dot" w:pos="9781"/>
      </w:tabs>
      <w:spacing w:after="100" w:line="259" w:lineRule="auto"/>
    </w:pPr>
    <w:rPr>
      <w:rFonts w:asciiTheme="minorHAnsi" w:eastAsiaTheme="minorHAnsi" w:hAnsiTheme="minorHAnsi" w:cstheme="minorBidi"/>
    </w:rPr>
  </w:style>
  <w:style w:type="paragraph" w:styleId="TOC2">
    <w:name w:val="toc 2"/>
    <w:basedOn w:val="Normal"/>
    <w:next w:val="Normal"/>
    <w:autoRedefine/>
    <w:uiPriority w:val="39"/>
    <w:unhideWhenUsed/>
    <w:qFormat/>
    <w:rsid w:val="005D4F7A"/>
    <w:pPr>
      <w:tabs>
        <w:tab w:val="right" w:leader="dot" w:pos="9781"/>
      </w:tabs>
      <w:spacing w:after="100" w:line="259" w:lineRule="auto"/>
      <w:ind w:left="220"/>
    </w:pPr>
    <w:rPr>
      <w:rFonts w:asciiTheme="minorHAnsi" w:eastAsiaTheme="minorHAnsi" w:hAnsiTheme="minorHAnsi" w:cstheme="minorBidi"/>
    </w:rPr>
  </w:style>
  <w:style w:type="paragraph" w:styleId="TOC3">
    <w:name w:val="toc 3"/>
    <w:basedOn w:val="Normal"/>
    <w:next w:val="Normal"/>
    <w:autoRedefine/>
    <w:uiPriority w:val="39"/>
    <w:unhideWhenUsed/>
    <w:qFormat/>
    <w:rsid w:val="005D4F7A"/>
    <w:pPr>
      <w:tabs>
        <w:tab w:val="left" w:pos="284"/>
        <w:tab w:val="right" w:leader="dot" w:pos="9781"/>
      </w:tabs>
      <w:spacing w:after="100" w:line="259" w:lineRule="auto"/>
    </w:pPr>
    <w:rPr>
      <w:rFonts w:asciiTheme="minorHAnsi" w:eastAsiaTheme="minorHAnsi" w:hAnsiTheme="minorHAnsi" w:cstheme="minorBidi"/>
    </w:rPr>
  </w:style>
  <w:style w:type="character" w:customStyle="1" w:styleId="Heading2Char">
    <w:name w:val="Heading 2 Char"/>
    <w:basedOn w:val="DefaultParagraphFont"/>
    <w:link w:val="Heading2"/>
    <w:uiPriority w:val="9"/>
    <w:semiHidden/>
    <w:rsid w:val="001C12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1253"/>
    <w:rPr>
      <w:rFonts w:asciiTheme="majorHAnsi" w:eastAsiaTheme="majorEastAsia" w:hAnsiTheme="majorHAnsi" w:cstheme="majorBidi"/>
      <w:b/>
      <w:bCs/>
      <w:color w:val="4F81BD" w:themeColor="accent1"/>
      <w:sz w:val="22"/>
      <w:szCs w:val="22"/>
    </w:rPr>
  </w:style>
  <w:style w:type="character" w:customStyle="1" w:styleId="citation">
    <w:name w:val="citation"/>
    <w:rsid w:val="001C1253"/>
    <w:rPr>
      <w:i w:val="0"/>
      <w:iCs w:val="0"/>
    </w:rPr>
  </w:style>
  <w:style w:type="paragraph" w:styleId="TOCHeading">
    <w:name w:val="TOC Heading"/>
    <w:basedOn w:val="Heading1"/>
    <w:next w:val="Normal"/>
    <w:uiPriority w:val="39"/>
    <w:semiHidden/>
    <w:unhideWhenUsed/>
    <w:qFormat/>
    <w:rsid w:val="00410DB9"/>
    <w:pPr>
      <w:outlineLvl w:val="9"/>
    </w:pPr>
    <w:rPr>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48F"/>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34E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C12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1253"/>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B0217"/>
    <w:pPr>
      <w:keepNext/>
      <w:spacing w:after="0" w:line="240" w:lineRule="auto"/>
      <w:ind w:left="360"/>
      <w:jc w:val="right"/>
      <w:outlineLvl w:val="6"/>
    </w:pPr>
    <w:rPr>
      <w:rFonts w:ascii="Arial" w:eastAsia="Times New Roman" w:hAnsi="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448F"/>
    <w:pPr>
      <w:ind w:left="720"/>
      <w:contextualSpacing/>
    </w:pPr>
  </w:style>
  <w:style w:type="character" w:styleId="Hyperlink">
    <w:name w:val="Hyperlink"/>
    <w:uiPriority w:val="99"/>
    <w:unhideWhenUsed/>
    <w:rsid w:val="0094448F"/>
    <w:rPr>
      <w:color w:val="0000FF"/>
      <w:u w:val="single"/>
    </w:rPr>
  </w:style>
  <w:style w:type="character" w:customStyle="1" w:styleId="ListParagraphChar">
    <w:name w:val="List Paragraph Char"/>
    <w:link w:val="ListParagraph"/>
    <w:uiPriority w:val="34"/>
    <w:rsid w:val="0094448F"/>
    <w:rPr>
      <w:rFonts w:ascii="Calibri" w:eastAsia="Calibri" w:hAnsi="Calibri" w:cs="Times New Roman"/>
      <w:sz w:val="22"/>
      <w:szCs w:val="22"/>
    </w:rPr>
  </w:style>
  <w:style w:type="table" w:styleId="TableGrid">
    <w:name w:val="Table Grid"/>
    <w:basedOn w:val="TableNormal"/>
    <w:uiPriority w:val="59"/>
    <w:rsid w:val="0094448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448F"/>
    <w:pPr>
      <w:autoSpaceDE w:val="0"/>
      <w:autoSpaceDN w:val="0"/>
      <w:adjustRightInd w:val="0"/>
    </w:pPr>
    <w:rPr>
      <w:rFonts w:ascii="Arial" w:eastAsiaTheme="minorHAnsi" w:hAnsi="Arial" w:cs="Arial"/>
      <w:color w:val="000000"/>
    </w:r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Text Char Char Char Char Char Char"/>
    <w:basedOn w:val="Normal"/>
    <w:link w:val="FootnoteTextChar"/>
    <w:uiPriority w:val="99"/>
    <w:unhideWhenUsed/>
    <w:qFormat/>
    <w:rsid w:val="0094448F"/>
    <w:pPr>
      <w:spacing w:after="0" w:line="240" w:lineRule="auto"/>
    </w:pPr>
    <w:rPr>
      <w:sz w:val="24"/>
      <w:szCs w:val="24"/>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rsid w:val="0094448F"/>
    <w:rPr>
      <w:rFonts w:ascii="Calibri" w:eastAsia="Calibri" w:hAnsi="Calibri" w:cs="Times New Roman"/>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basedOn w:val="DefaultParagraphFont"/>
    <w:link w:val="4GCharCharChar"/>
    <w:uiPriority w:val="99"/>
    <w:unhideWhenUsed/>
    <w:rsid w:val="0094448F"/>
    <w:rPr>
      <w:vertAlign w:val="superscript"/>
    </w:rPr>
  </w:style>
  <w:style w:type="paragraph" w:styleId="BalloonText">
    <w:name w:val="Balloon Text"/>
    <w:basedOn w:val="Normal"/>
    <w:link w:val="BalloonTextChar"/>
    <w:uiPriority w:val="99"/>
    <w:semiHidden/>
    <w:unhideWhenUsed/>
    <w:rsid w:val="009444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48F"/>
    <w:rPr>
      <w:rFonts w:ascii="Lucida Grande" w:eastAsia="Calibri" w:hAnsi="Lucida Grande" w:cs="Lucida Grande"/>
      <w:sz w:val="18"/>
      <w:szCs w:val="18"/>
    </w:rPr>
  </w:style>
  <w:style w:type="character" w:styleId="FollowedHyperlink">
    <w:name w:val="FollowedHyperlink"/>
    <w:basedOn w:val="DefaultParagraphFont"/>
    <w:uiPriority w:val="99"/>
    <w:semiHidden/>
    <w:unhideWhenUsed/>
    <w:rsid w:val="00FC145A"/>
    <w:rPr>
      <w:color w:val="800080" w:themeColor="followedHyperlink"/>
      <w:u w:val="single"/>
    </w:rPr>
  </w:style>
  <w:style w:type="paragraph" w:styleId="NoSpacing">
    <w:name w:val="No Spacing"/>
    <w:basedOn w:val="Normal"/>
    <w:next w:val="Normal"/>
    <w:uiPriority w:val="1"/>
    <w:qFormat/>
    <w:rsid w:val="00165F6F"/>
    <w:pPr>
      <w:spacing w:after="0" w:line="240" w:lineRule="auto"/>
      <w:jc w:val="both"/>
    </w:pPr>
    <w:rPr>
      <w:rFonts w:ascii="Times New Roman" w:eastAsiaTheme="minorEastAsia" w:hAnsi="Times New Roman" w:cs="Calibri"/>
      <w:bCs/>
      <w:color w:val="000000" w:themeColor="text1"/>
      <w:sz w:val="24"/>
      <w:szCs w:val="20"/>
      <w:lang w:val="en-US" w:eastAsia="en-AU"/>
    </w:rPr>
  </w:style>
  <w:style w:type="character" w:styleId="Strong">
    <w:name w:val="Strong"/>
    <w:basedOn w:val="DefaultParagraphFont"/>
    <w:uiPriority w:val="22"/>
    <w:qFormat/>
    <w:rsid w:val="002E1DE9"/>
    <w:rPr>
      <w:b/>
      <w:bCs/>
    </w:rPr>
  </w:style>
  <w:style w:type="paragraph" w:styleId="Footer">
    <w:name w:val="footer"/>
    <w:basedOn w:val="Normal"/>
    <w:link w:val="FooterChar"/>
    <w:uiPriority w:val="99"/>
    <w:unhideWhenUsed/>
    <w:rsid w:val="00D914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1444"/>
    <w:rPr>
      <w:rFonts w:ascii="Calibri" w:eastAsia="Calibri" w:hAnsi="Calibri" w:cs="Times New Roman"/>
      <w:sz w:val="22"/>
      <w:szCs w:val="22"/>
    </w:rPr>
  </w:style>
  <w:style w:type="character" w:styleId="PageNumber">
    <w:name w:val="page number"/>
    <w:basedOn w:val="DefaultParagraphFont"/>
    <w:uiPriority w:val="99"/>
    <w:semiHidden/>
    <w:unhideWhenUsed/>
    <w:rsid w:val="00D91444"/>
  </w:style>
  <w:style w:type="paragraph" w:styleId="ListBullet">
    <w:name w:val="List Bullet"/>
    <w:basedOn w:val="Normal"/>
    <w:uiPriority w:val="1"/>
    <w:qFormat/>
    <w:rsid w:val="006C12B3"/>
    <w:pPr>
      <w:tabs>
        <w:tab w:val="left" w:pos="170"/>
      </w:tabs>
      <w:spacing w:before="120" w:after="180" w:line="280" w:lineRule="atLeast"/>
    </w:pPr>
    <w:rPr>
      <w:rFonts w:ascii="Arial" w:eastAsia="Times New Roman" w:hAnsi="Arial"/>
      <w:spacing w:val="4"/>
      <w:sz w:val="24"/>
      <w:szCs w:val="24"/>
      <w:lang w:eastAsia="en-AU"/>
    </w:rPr>
  </w:style>
  <w:style w:type="paragraph" w:styleId="Header">
    <w:name w:val="header"/>
    <w:basedOn w:val="Normal"/>
    <w:link w:val="HeaderChar"/>
    <w:uiPriority w:val="99"/>
    <w:unhideWhenUsed/>
    <w:rsid w:val="0055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71D"/>
    <w:rPr>
      <w:rFonts w:ascii="Calibri" w:eastAsia="Calibri" w:hAnsi="Calibri" w:cs="Times New Roman"/>
      <w:sz w:val="22"/>
      <w:szCs w:val="22"/>
    </w:rPr>
  </w:style>
  <w:style w:type="character" w:customStyle="1" w:styleId="Heading7Char">
    <w:name w:val="Heading 7 Char"/>
    <w:basedOn w:val="DefaultParagraphFont"/>
    <w:link w:val="Heading7"/>
    <w:rsid w:val="001B0217"/>
    <w:rPr>
      <w:rFonts w:ascii="Arial" w:eastAsia="Times New Roman" w:hAnsi="Arial" w:cs="Times New Roman"/>
      <w:b/>
      <w:bCs/>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352AA"/>
    <w:pPr>
      <w:spacing w:after="160" w:line="240" w:lineRule="exact"/>
      <w:jc w:val="both"/>
    </w:pPr>
    <w:rPr>
      <w:rFonts w:asciiTheme="minorHAnsi" w:eastAsiaTheme="minorEastAsia" w:hAnsiTheme="minorHAnsi" w:cstheme="minorBidi"/>
      <w:sz w:val="24"/>
      <w:szCs w:val="24"/>
      <w:vertAlign w:val="superscript"/>
    </w:rPr>
  </w:style>
  <w:style w:type="character" w:customStyle="1" w:styleId="Heading1Char">
    <w:name w:val="Heading 1 Char"/>
    <w:basedOn w:val="DefaultParagraphFont"/>
    <w:link w:val="Heading1"/>
    <w:uiPriority w:val="9"/>
    <w:rsid w:val="00034E7D"/>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5D4F7A"/>
    <w:pPr>
      <w:tabs>
        <w:tab w:val="right" w:leader="dot" w:pos="9781"/>
      </w:tabs>
      <w:spacing w:after="100" w:line="259" w:lineRule="auto"/>
    </w:pPr>
    <w:rPr>
      <w:rFonts w:asciiTheme="minorHAnsi" w:eastAsiaTheme="minorHAnsi" w:hAnsiTheme="minorHAnsi" w:cstheme="minorBidi"/>
    </w:rPr>
  </w:style>
  <w:style w:type="paragraph" w:styleId="TOC2">
    <w:name w:val="toc 2"/>
    <w:basedOn w:val="Normal"/>
    <w:next w:val="Normal"/>
    <w:autoRedefine/>
    <w:uiPriority w:val="39"/>
    <w:unhideWhenUsed/>
    <w:qFormat/>
    <w:rsid w:val="005D4F7A"/>
    <w:pPr>
      <w:tabs>
        <w:tab w:val="right" w:leader="dot" w:pos="9781"/>
      </w:tabs>
      <w:spacing w:after="100" w:line="259" w:lineRule="auto"/>
      <w:ind w:left="220"/>
    </w:pPr>
    <w:rPr>
      <w:rFonts w:asciiTheme="minorHAnsi" w:eastAsiaTheme="minorHAnsi" w:hAnsiTheme="minorHAnsi" w:cstheme="minorBidi"/>
    </w:rPr>
  </w:style>
  <w:style w:type="paragraph" w:styleId="TOC3">
    <w:name w:val="toc 3"/>
    <w:basedOn w:val="Normal"/>
    <w:next w:val="Normal"/>
    <w:autoRedefine/>
    <w:uiPriority w:val="39"/>
    <w:unhideWhenUsed/>
    <w:qFormat/>
    <w:rsid w:val="005D4F7A"/>
    <w:pPr>
      <w:tabs>
        <w:tab w:val="left" w:pos="284"/>
        <w:tab w:val="right" w:leader="dot" w:pos="9781"/>
      </w:tabs>
      <w:spacing w:after="100" w:line="259" w:lineRule="auto"/>
    </w:pPr>
    <w:rPr>
      <w:rFonts w:asciiTheme="minorHAnsi" w:eastAsiaTheme="minorHAnsi" w:hAnsiTheme="minorHAnsi" w:cstheme="minorBidi"/>
    </w:rPr>
  </w:style>
  <w:style w:type="character" w:customStyle="1" w:styleId="Heading2Char">
    <w:name w:val="Heading 2 Char"/>
    <w:basedOn w:val="DefaultParagraphFont"/>
    <w:link w:val="Heading2"/>
    <w:uiPriority w:val="9"/>
    <w:semiHidden/>
    <w:rsid w:val="001C12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1253"/>
    <w:rPr>
      <w:rFonts w:asciiTheme="majorHAnsi" w:eastAsiaTheme="majorEastAsia" w:hAnsiTheme="majorHAnsi" w:cstheme="majorBidi"/>
      <w:b/>
      <w:bCs/>
      <w:color w:val="4F81BD" w:themeColor="accent1"/>
      <w:sz w:val="22"/>
      <w:szCs w:val="22"/>
    </w:rPr>
  </w:style>
  <w:style w:type="character" w:customStyle="1" w:styleId="citation">
    <w:name w:val="citation"/>
    <w:rsid w:val="001C1253"/>
    <w:rPr>
      <w:i w:val="0"/>
      <w:iCs w:val="0"/>
    </w:rPr>
  </w:style>
  <w:style w:type="paragraph" w:styleId="TOCHeading">
    <w:name w:val="TOC Heading"/>
    <w:basedOn w:val="Heading1"/>
    <w:next w:val="Normal"/>
    <w:uiPriority w:val="39"/>
    <w:semiHidden/>
    <w:unhideWhenUsed/>
    <w:qFormat/>
    <w:rsid w:val="00410DB9"/>
    <w:pPr>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5213">
      <w:bodyDiv w:val="1"/>
      <w:marLeft w:val="0"/>
      <w:marRight w:val="0"/>
      <w:marTop w:val="0"/>
      <w:marBottom w:val="0"/>
      <w:divBdr>
        <w:top w:val="none" w:sz="0" w:space="0" w:color="auto"/>
        <w:left w:val="none" w:sz="0" w:space="0" w:color="auto"/>
        <w:bottom w:val="none" w:sz="0" w:space="0" w:color="auto"/>
        <w:right w:val="none" w:sz="0" w:space="0" w:color="auto"/>
      </w:divBdr>
    </w:div>
    <w:div w:id="1289898465">
      <w:bodyDiv w:val="1"/>
      <w:marLeft w:val="0"/>
      <w:marRight w:val="0"/>
      <w:marTop w:val="0"/>
      <w:marBottom w:val="0"/>
      <w:divBdr>
        <w:top w:val="none" w:sz="0" w:space="0" w:color="auto"/>
        <w:left w:val="none" w:sz="0" w:space="0" w:color="auto"/>
        <w:bottom w:val="none" w:sz="0" w:space="0" w:color="auto"/>
        <w:right w:val="none" w:sz="0" w:space="0" w:color="auto"/>
      </w:divBdr>
    </w:div>
    <w:div w:id="1800104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neda.org.au/"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www.pwd.org.au/documents/pubs/SB14-ALRC-Submission-PWDA-ACDL-AHRCentre.doc"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pwd.org.au"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fpdn.org.au/" TargetMode="External"/><Relationship Id="rId20" Type="http://schemas.openxmlformats.org/officeDocument/2006/relationships/hyperlink" Target="http://www.pwd.org.au/documents/pubs/SB14-UNCAT.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ereses@pwd.org.au" TargetMode="Externa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wwda.org.au" TargetMode="External"/><Relationship Id="rId23" Type="http://schemas.openxmlformats.org/officeDocument/2006/relationships/hyperlink" Target="http://www.neda.org.au/index.php/latest/183-plight" TargetMode="External"/><Relationship Id="rId28" Type="http://schemas.openxmlformats.org/officeDocument/2006/relationships/fontTable" Target="fontTable.xml"/><Relationship Id="rId10" Type="http://schemas.openxmlformats.org/officeDocument/2006/relationships/hyperlink" Target="mailto:ngilab@pwd.org.au" TargetMode="External"/><Relationship Id="rId19" Type="http://schemas.openxmlformats.org/officeDocument/2006/relationships/hyperlink" Target="http://www.pwd.org.au/documents/Submissions/ACDASubSenInquiryViolenceInstitutions.doc"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hyperlink" Target="http://www.pwd.org.au/documents/Word/AusUPRFactSheetIndefiniteDetentionFN.docx" TargetMode="External"/><Relationship Id="rId27" Type="http://schemas.openxmlformats.org/officeDocument/2006/relationships/image" Target="media/image5.gif"/></Relationships>
</file>

<file path=word/_rels/footnotes.xml.rels><?xml version="1.0" encoding="UTF-8" standalone="yes"?>
<Relationships xmlns="http://schemas.openxmlformats.org/package/2006/relationships"><Relationship Id="rId8" Type="http://schemas.openxmlformats.org/officeDocument/2006/relationships/hyperlink" Target="http://www.pwd.org.au/documents/pubs/SB14-UNCAT.doc" TargetMode="External"/><Relationship Id="rId13" Type="http://schemas.openxmlformats.org/officeDocument/2006/relationships/hyperlink" Target="http://thestringer.com.au/fairness-does-not-mean-everyone-gets-the-same-fairness-means-everyone-gets-what-they-need-rick-riordan-10311" TargetMode="External"/><Relationship Id="rId18" Type="http://schemas.openxmlformats.org/officeDocument/2006/relationships/hyperlink" Target="http://www.hrlrc.org.au/files/4M6OEL69DU/HRLRC%20Report%20to%20CAT.pdf" TargetMode="External"/><Relationship Id="rId26" Type="http://schemas.openxmlformats.org/officeDocument/2006/relationships/hyperlink" Target="http://www.aph.gov.au/senate/committee/mentalhealth_ctte/submissions/sub306.pdf" TargetMode="External"/><Relationship Id="rId39" Type="http://schemas.openxmlformats.org/officeDocument/2006/relationships/hyperlink" Target="https://www.dss.gov.au/our-responsibilities/disability-and-carers/publications-articles/policy-research/national-framework-for-reducing-and-eliminating-the-use-of-restrictive-practices-in-the-disability-service-sector" TargetMode="External"/><Relationship Id="rId3" Type="http://schemas.openxmlformats.org/officeDocument/2006/relationships/hyperlink" Target="http://www.ohchr.org/EN/Issues/Disability/Pages/deprivationofliberty.aspx" TargetMode="External"/><Relationship Id="rId21" Type="http://schemas.openxmlformats.org/officeDocument/2006/relationships/hyperlink" Target="http://www.theage.com.au/victoria/deaths-in-mental-health-facilities-unexpected-unnatural-and-violent-20110902-1jqdg.html" TargetMode="External"/><Relationship Id="rId34" Type="http://schemas.openxmlformats.org/officeDocument/2006/relationships/hyperlink" Target="https://www.humanrights.gov.au/sites/default/files/document/publication/2014_Equal_Before_the_Law.pdf" TargetMode="External"/><Relationship Id="rId42" Type="http://schemas.openxmlformats.org/officeDocument/2006/relationships/hyperlink" Target="http://www.abs.gov.au/ausstats/abs@.nsf/mf/4517.0" TargetMode="External"/><Relationship Id="rId7" Type="http://schemas.openxmlformats.org/officeDocument/2006/relationships/hyperlink" Target="http://www.pwd.org.au/documents/pubs/SB14-UNCAT.doc" TargetMode="External"/><Relationship Id="rId12" Type="http://schemas.openxmlformats.org/officeDocument/2006/relationships/hyperlink" Target="http://www.hrlrc.org.au/content/topics/refugees-and-asylum-seekers/refugee-rights-submission-inquiry-immigration-detention/" TargetMode="External"/><Relationship Id="rId17" Type="http://schemas.openxmlformats.org/officeDocument/2006/relationships/hyperlink" Target="http://solitaryconfinement.org/uploads/SpecRapTortureAug2011.pdf%20para.78" TargetMode="External"/><Relationship Id="rId25" Type="http://schemas.openxmlformats.org/officeDocument/2006/relationships/hyperlink" Target="http://www.sistersinside.com.au/media/ResearchProposal15KathyEllem.pdf" TargetMode="External"/><Relationship Id="rId33" Type="http://schemas.openxmlformats.org/officeDocument/2006/relationships/hyperlink" Target="http://www.pwd.org.au/documents/pubs/SB14-ALRC-Submission-PWDA-NACLC.doc" TargetMode="External"/><Relationship Id="rId38" Type="http://schemas.openxmlformats.org/officeDocument/2006/relationships/hyperlink" Target="http://www.pwd.org.au/documents/pubs/SB14-ALRC-Submission-PWDA-NACLC.doc" TargetMode="External"/><Relationship Id="rId2" Type="http://schemas.openxmlformats.org/officeDocument/2006/relationships/hyperlink" Target="http://www.pwd.org.au/documents/pubs/RightsDenied2010.doc" TargetMode="External"/><Relationship Id="rId16" Type="http://schemas.openxmlformats.org/officeDocument/2006/relationships/hyperlink" Target="http://www.pwd.org.au/documents/pubs/SB14-UNCAT.doc" TargetMode="External"/><Relationship Id="rId20" Type="http://schemas.openxmlformats.org/officeDocument/2006/relationships/hyperlink" Target="http://www.pwd.org.au/documents/pubs/SB14-UNCAT.doc" TargetMode="External"/><Relationship Id="rId29" Type="http://schemas.openxmlformats.org/officeDocument/2006/relationships/hyperlink" Target="http://www.abc.net.au/news/2014-03-12/intellectually-disabled%C2%A0aboriginal-people-stuck-in-legal-limbo/5316892" TargetMode="External"/><Relationship Id="rId41" Type="http://schemas.openxmlformats.org/officeDocument/2006/relationships/hyperlink" Target="http://www.sistersinside.com.au" TargetMode="External"/><Relationship Id="rId1" Type="http://schemas.openxmlformats.org/officeDocument/2006/relationships/hyperlink" Target="http://www.pwd.org.au/issues/crpd-civil-society-shadow-report-group.html" TargetMode="External"/><Relationship Id="rId6" Type="http://schemas.openxmlformats.org/officeDocument/2006/relationships/hyperlink" Target="http://www.abc.net.au/rampup/articles/2011/12/09/3387845.htm" TargetMode="External"/><Relationship Id="rId11" Type="http://schemas.openxmlformats.org/officeDocument/2006/relationships/hyperlink" Target="http://daccess-dds-ny.un.org/doc/UNDOC/GEN/G13/116/31/PDF/G1311631.pdf?OpenElement" TargetMode="External"/><Relationship Id="rId24" Type="http://schemas.openxmlformats.org/officeDocument/2006/relationships/hyperlink" Target="http://www.pwd.org.au/documents/pubs/SB14-UNCAT.doc" TargetMode="External"/><Relationship Id="rId32" Type="http://schemas.openxmlformats.org/officeDocument/2006/relationships/hyperlink" Target="http://www.pwd.org.au/documents/pubs/SB14-ALRC-Submission-PWDA-ACDL-AHRCentre.doc" TargetMode="External"/><Relationship Id="rId37" Type="http://schemas.openxmlformats.org/officeDocument/2006/relationships/hyperlink" Target="http://theadvocategateway.org" TargetMode="External"/><Relationship Id="rId40" Type="http://schemas.openxmlformats.org/officeDocument/2006/relationships/hyperlink" Target="http://www.mentalhealthcommission.gov.au/our-work/national-seclusion-and-restraint-project.aspx" TargetMode="External"/><Relationship Id="rId5" Type="http://schemas.openxmlformats.org/officeDocument/2006/relationships/hyperlink" Target="http://www.pwd.org.au/documents/Word/AusUPRFactSheetIndefiniteDetentionFN.docx" TargetMode="External"/><Relationship Id="rId15" Type="http://schemas.openxmlformats.org/officeDocument/2006/relationships/hyperlink" Target="http://www.mentalhealthcommission.gov.au/our-work/national-seclusion-and-restraint-project/our-position-paper-a-case-for-change.aspx" TargetMode="External"/><Relationship Id="rId23" Type="http://schemas.openxmlformats.org/officeDocument/2006/relationships/hyperlink" Target="http://www.dhs.vic.gov.au/__data/assets/pdf_file/0005/152663/disact_infosheet15supervisedtreatment_pdf_280607.pdf" TargetMode="External"/><Relationship Id="rId28" Type="http://schemas.openxmlformats.org/officeDocument/2006/relationships/hyperlink" Target="http://www.pwd.org.au/systemic/adjc.html" TargetMode="External"/><Relationship Id="rId36" Type="http://schemas.openxmlformats.org/officeDocument/2006/relationships/hyperlink" Target="http://www.lawfoundation.net.au/report/consultations" TargetMode="External"/><Relationship Id="rId10" Type="http://schemas.openxmlformats.org/officeDocument/2006/relationships/hyperlink" Target="http://www.pwd.org.au/documents/pubs/SB14-UNCAT.doc" TargetMode="External"/><Relationship Id="rId19" Type="http://schemas.openxmlformats.org/officeDocument/2006/relationships/hyperlink" Target="http://www2.ohchr.org/english/bodies/cat/docs/ngos/NSWCCL.Add.1.pdf" TargetMode="External"/><Relationship Id="rId31" Type="http://schemas.openxmlformats.org/officeDocument/2006/relationships/hyperlink" Target="https://www.alrc.gov.au/publications/equality-capacity-disability-report-124" TargetMode="External"/><Relationship Id="rId44" Type="http://schemas.openxmlformats.org/officeDocument/2006/relationships/hyperlink" Target="https://www.humanrights.gov.au/sites/default/files/document/publication/Cost%20benefit%20analysis.pdf" TargetMode="External"/><Relationship Id="rId4" Type="http://schemas.openxmlformats.org/officeDocument/2006/relationships/hyperlink" Target="http://www.pwd.org.au/documents/pubs/SB14-ALRC-Submission-PWDA-ACDL-AHRCentre.doc" TargetMode="External"/><Relationship Id="rId9" Type="http://schemas.openxmlformats.org/officeDocument/2006/relationships/hyperlink" Target="http://www.abc.net.au/radionational/programs/allinthemind/mental-illness-and-the-criminal-justice-system/6535790" TargetMode="External"/><Relationship Id="rId14" Type="http://schemas.openxmlformats.org/officeDocument/2006/relationships/hyperlink" Target="http://www.theguardian.com/world/interactive/2014/jan/13/christmas-island-doctors-letter-of-concern-in-full" TargetMode="External"/><Relationship Id="rId22" Type="http://schemas.openxmlformats.org/officeDocument/2006/relationships/hyperlink" Target="http://www.health.qld.gov.au/mha2000/documents/factsheet3.pdf" TargetMode="External"/><Relationship Id="rId27" Type="http://schemas.openxmlformats.org/officeDocument/2006/relationships/hyperlink" Target="http://www.humanrightsconsultation.gov.au/www/nhrcc/submissions.nsf/list/DB51D48972D82AFBCA25761500277B6A/$file/Jane%20Sanders_AGWW-7T26DXAGWW-7T26DX.pdf" TargetMode="External"/><Relationship Id="rId30" Type="http://schemas.openxmlformats.org/officeDocument/2006/relationships/hyperlink" Target="http://www.sistersinside.com.au/media/FINAL%20-%20National%20HR%20Submission%20June%202009.pdf" TargetMode="External"/><Relationship Id="rId35" Type="http://schemas.openxmlformats.org/officeDocument/2006/relationships/hyperlink" Target="http://www.kellyvincentmlc.com/dignity-for-disability-mlc-kelly-vincent-media-release-justice-denied-no-more" TargetMode="External"/><Relationship Id="rId43" Type="http://schemas.openxmlformats.org/officeDocument/2006/relationships/hyperlink" Target="http://www.smh.com.au/nsw/report&#8211;finds&#8211;disability&#8211;and&#8211;disadvantage&#8211;common&#8211;in&#8211;young&#8211;offenders&#8211;20100226&#8211;p95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F3E1C-815B-46D3-94EC-4CCD1F63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29</Pages>
  <Words>9882</Words>
  <Characters>56331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66081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Frohmader</dc:creator>
  <cp:lastModifiedBy>Administrator</cp:lastModifiedBy>
  <cp:revision>104</cp:revision>
  <cp:lastPrinted>2016-04-18T14:40:00Z</cp:lastPrinted>
  <dcterms:created xsi:type="dcterms:W3CDTF">2016-04-18T01:46:00Z</dcterms:created>
  <dcterms:modified xsi:type="dcterms:W3CDTF">2016-04-18T14:41:00Z</dcterms:modified>
</cp:coreProperties>
</file>