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4A379" w14:textId="77777777" w:rsidR="00F5359F" w:rsidRPr="005629B0" w:rsidRDefault="00F5359F" w:rsidP="00F5359F">
      <w:pPr>
        <w:spacing w:before="120" w:after="120"/>
        <w:jc w:val="center"/>
        <w:rPr>
          <w:rFonts w:asciiTheme="majorHAnsi" w:hAnsiTheme="majorHAnsi" w:cs="Arial"/>
          <w:sz w:val="24"/>
          <w:szCs w:val="24"/>
        </w:rPr>
      </w:pPr>
      <w:bookmarkStart w:id="0" w:name="_GoBack"/>
      <w:bookmarkEnd w:id="0"/>
    </w:p>
    <w:p w14:paraId="26E05291" w14:textId="77777777" w:rsidR="00F5359F" w:rsidRPr="005629B0" w:rsidRDefault="00F5359F" w:rsidP="00F5359F">
      <w:pPr>
        <w:spacing w:before="120" w:after="120"/>
        <w:jc w:val="right"/>
        <w:rPr>
          <w:rFonts w:asciiTheme="majorHAnsi" w:hAnsiTheme="majorHAnsi" w:cs="Arial"/>
          <w:sz w:val="24"/>
          <w:szCs w:val="24"/>
        </w:rPr>
      </w:pPr>
      <w:r w:rsidRPr="005629B0">
        <w:rPr>
          <w:rFonts w:asciiTheme="majorHAnsi" w:hAnsiTheme="majorHAnsi" w:cs="Arial"/>
          <w:noProof/>
          <w:sz w:val="24"/>
          <w:szCs w:val="24"/>
          <w:lang w:val="en-US"/>
        </w:rPr>
        <w:drawing>
          <wp:inline distT="0" distB="0" distL="0" distR="0" wp14:anchorId="090A9004" wp14:editId="7543A984">
            <wp:extent cx="2734175" cy="1080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a DPOAustralia_Logo_Email_200px.jpg"/>
                    <pic:cNvPicPr/>
                  </pic:nvPicPr>
                  <pic:blipFill>
                    <a:blip r:embed="rId9">
                      <a:extLst>
                        <a:ext uri="{28A0092B-C50C-407E-A947-70E740481C1C}">
                          <a14:useLocalDpi xmlns:a14="http://schemas.microsoft.com/office/drawing/2010/main" val="0"/>
                        </a:ext>
                      </a:extLst>
                    </a:blip>
                    <a:stretch>
                      <a:fillRect/>
                    </a:stretch>
                  </pic:blipFill>
                  <pic:spPr>
                    <a:xfrm>
                      <a:off x="0" y="0"/>
                      <a:ext cx="2734175" cy="1080000"/>
                    </a:xfrm>
                    <a:prstGeom prst="rect">
                      <a:avLst/>
                    </a:prstGeom>
                  </pic:spPr>
                </pic:pic>
              </a:graphicData>
            </a:graphic>
          </wp:inline>
        </w:drawing>
      </w:r>
    </w:p>
    <w:p w14:paraId="06CC56F3" w14:textId="77777777" w:rsidR="00F5359F" w:rsidRPr="005629B0" w:rsidRDefault="00F5359F" w:rsidP="00F5359F">
      <w:pPr>
        <w:spacing w:before="120" w:after="120"/>
        <w:rPr>
          <w:rFonts w:asciiTheme="majorHAnsi" w:hAnsiTheme="majorHAnsi" w:cs="Arial"/>
          <w:sz w:val="24"/>
          <w:szCs w:val="24"/>
        </w:rPr>
      </w:pPr>
    </w:p>
    <w:p w14:paraId="68306CAF" w14:textId="77777777" w:rsidR="00F5359F" w:rsidRPr="005629B0" w:rsidRDefault="00F5359F" w:rsidP="00F5359F">
      <w:pPr>
        <w:spacing w:before="120" w:after="120"/>
        <w:rPr>
          <w:rFonts w:asciiTheme="majorHAnsi" w:hAnsiTheme="majorHAnsi" w:cs="Arial"/>
          <w:sz w:val="24"/>
          <w:szCs w:val="24"/>
        </w:rPr>
      </w:pPr>
    </w:p>
    <w:p w14:paraId="24C66F8F" w14:textId="77777777" w:rsidR="00F5359F" w:rsidRPr="005629B0" w:rsidRDefault="00F5359F" w:rsidP="00F5359F">
      <w:pPr>
        <w:spacing w:before="120" w:after="120"/>
        <w:rPr>
          <w:rFonts w:asciiTheme="majorHAnsi" w:hAnsiTheme="majorHAnsi" w:cs="Arial"/>
          <w:sz w:val="24"/>
          <w:szCs w:val="24"/>
        </w:rPr>
      </w:pPr>
    </w:p>
    <w:p w14:paraId="6BB28FB2" w14:textId="77777777" w:rsidR="00F5359F" w:rsidRPr="005629B0" w:rsidRDefault="00F5359F" w:rsidP="00F5359F">
      <w:pPr>
        <w:spacing w:before="120" w:after="120"/>
        <w:rPr>
          <w:rFonts w:asciiTheme="majorHAnsi" w:hAnsiTheme="majorHAnsi" w:cs="Arial"/>
          <w:sz w:val="24"/>
          <w:szCs w:val="24"/>
        </w:rPr>
      </w:pPr>
    </w:p>
    <w:p w14:paraId="3C3F9C32" w14:textId="77777777" w:rsidR="00F5359F" w:rsidRPr="005629B0" w:rsidRDefault="00F5359F" w:rsidP="00F5359F">
      <w:pPr>
        <w:spacing w:before="120" w:after="120"/>
        <w:rPr>
          <w:rFonts w:asciiTheme="majorHAnsi" w:hAnsiTheme="majorHAnsi" w:cs="Arial"/>
          <w:sz w:val="24"/>
          <w:szCs w:val="24"/>
        </w:rPr>
      </w:pPr>
    </w:p>
    <w:p w14:paraId="6F57FFCE" w14:textId="77777777" w:rsidR="00F5359F" w:rsidRPr="005629B0" w:rsidRDefault="00F5359F" w:rsidP="00F5359F">
      <w:pPr>
        <w:spacing w:before="120" w:after="120"/>
        <w:rPr>
          <w:rFonts w:asciiTheme="majorHAnsi" w:hAnsiTheme="majorHAnsi" w:cs="Arial"/>
          <w:sz w:val="24"/>
          <w:szCs w:val="24"/>
        </w:rPr>
      </w:pPr>
    </w:p>
    <w:p w14:paraId="1DFD7348" w14:textId="77777777" w:rsidR="00F5359F" w:rsidRPr="005629B0" w:rsidRDefault="00F5359F" w:rsidP="00F5359F">
      <w:pPr>
        <w:spacing w:before="120" w:after="120"/>
        <w:rPr>
          <w:rFonts w:asciiTheme="majorHAnsi" w:hAnsiTheme="majorHAnsi" w:cs="Arial"/>
          <w:b/>
          <w:sz w:val="36"/>
          <w:szCs w:val="36"/>
        </w:rPr>
      </w:pPr>
      <w:r w:rsidRPr="005629B0">
        <w:rPr>
          <w:rFonts w:asciiTheme="majorHAnsi" w:hAnsiTheme="majorHAnsi" w:cs="Arial"/>
          <w:b/>
          <w:sz w:val="36"/>
          <w:szCs w:val="36"/>
        </w:rPr>
        <w:t>Submission</w:t>
      </w:r>
    </w:p>
    <w:p w14:paraId="1F3C44EF" w14:textId="77777777" w:rsidR="00F5359F" w:rsidRPr="005629B0" w:rsidRDefault="00F5359F" w:rsidP="00F5359F">
      <w:pPr>
        <w:pBdr>
          <w:bottom w:val="single" w:sz="24" w:space="1" w:color="auto"/>
        </w:pBdr>
        <w:rPr>
          <w:rFonts w:cs="Arial"/>
        </w:rPr>
      </w:pPr>
    </w:p>
    <w:p w14:paraId="662D4C01" w14:textId="1A9C7407" w:rsidR="00F5359F" w:rsidRPr="00F270DB" w:rsidRDefault="00F270DB" w:rsidP="00F5359F">
      <w:pPr>
        <w:spacing w:before="120" w:after="120"/>
        <w:rPr>
          <w:rFonts w:asciiTheme="majorHAnsi" w:hAnsiTheme="majorHAnsi" w:cs="Arial"/>
          <w:b/>
          <w:sz w:val="36"/>
          <w:szCs w:val="36"/>
        </w:rPr>
      </w:pPr>
      <w:r w:rsidRPr="00F270DB">
        <w:rPr>
          <w:rFonts w:asciiTheme="majorHAnsi" w:hAnsiTheme="majorHAnsi" w:cs="Arial"/>
          <w:b/>
          <w:sz w:val="36"/>
          <w:szCs w:val="36"/>
        </w:rPr>
        <w:t>Senate Community Affairs Legislation Committee</w:t>
      </w:r>
    </w:p>
    <w:p w14:paraId="72C9B1A1" w14:textId="017A8F5A" w:rsidR="00F5359F" w:rsidRPr="00F270DB" w:rsidRDefault="00F270DB" w:rsidP="00F5359F">
      <w:pPr>
        <w:spacing w:before="120" w:after="120"/>
        <w:rPr>
          <w:rFonts w:asciiTheme="majorHAnsi" w:hAnsiTheme="majorHAnsi" w:cs="Arial"/>
          <w:b/>
          <w:sz w:val="32"/>
          <w:szCs w:val="32"/>
        </w:rPr>
      </w:pPr>
      <w:r w:rsidRPr="00F270DB">
        <w:rPr>
          <w:rFonts w:asciiTheme="majorHAnsi" w:hAnsiTheme="majorHAnsi" w:cs="Arial"/>
          <w:b/>
          <w:sz w:val="32"/>
          <w:szCs w:val="32"/>
        </w:rPr>
        <w:t>National Disability Insurance Scheme Amendment (Quality and Safeguards Commission and Other Measures) Bill 2017</w:t>
      </w:r>
    </w:p>
    <w:p w14:paraId="3EB06393" w14:textId="77777777" w:rsidR="00F5359F" w:rsidRPr="005629B0" w:rsidRDefault="00F5359F" w:rsidP="00F5359F">
      <w:pPr>
        <w:pBdr>
          <w:bottom w:val="single" w:sz="24" w:space="1" w:color="auto"/>
        </w:pBdr>
        <w:rPr>
          <w:rFonts w:cs="Arial"/>
        </w:rPr>
      </w:pPr>
    </w:p>
    <w:p w14:paraId="0FE8E26F" w14:textId="77777777" w:rsidR="00F5359F" w:rsidRPr="005629B0" w:rsidRDefault="00F5359F" w:rsidP="00F5359F">
      <w:pPr>
        <w:pStyle w:val="Footer"/>
        <w:rPr>
          <w:rFonts w:cs="Arial"/>
          <w:szCs w:val="24"/>
        </w:rPr>
      </w:pPr>
    </w:p>
    <w:p w14:paraId="7443829B" w14:textId="35D58F83" w:rsidR="00F5359F" w:rsidRPr="005629B0" w:rsidRDefault="009E56D8" w:rsidP="00F5359F">
      <w:pPr>
        <w:pStyle w:val="Footer"/>
        <w:rPr>
          <w:rFonts w:cs="Arial"/>
          <w:b/>
          <w:sz w:val="28"/>
          <w:szCs w:val="28"/>
        </w:rPr>
      </w:pPr>
      <w:r>
        <w:rPr>
          <w:rFonts w:cs="Arial"/>
          <w:b/>
          <w:sz w:val="28"/>
          <w:szCs w:val="28"/>
        </w:rPr>
        <w:t>July</w:t>
      </w:r>
      <w:r w:rsidR="00F5359F" w:rsidRPr="005629B0">
        <w:rPr>
          <w:rFonts w:cs="Arial"/>
          <w:b/>
          <w:sz w:val="28"/>
          <w:szCs w:val="28"/>
        </w:rPr>
        <w:t xml:space="preserve"> 2017 </w:t>
      </w:r>
    </w:p>
    <w:p w14:paraId="5CF65CAF" w14:textId="77777777" w:rsidR="00F5359F" w:rsidRPr="005629B0" w:rsidRDefault="00F5359F" w:rsidP="00F5359F">
      <w:pPr>
        <w:ind w:left="360"/>
        <w:rPr>
          <w:rFonts w:cs="Arial"/>
          <w:b/>
          <w:bCs/>
        </w:rPr>
      </w:pPr>
    </w:p>
    <w:p w14:paraId="724E8076" w14:textId="77777777" w:rsidR="00F5359F" w:rsidRPr="005629B0" w:rsidRDefault="00F5359F" w:rsidP="00F5359F">
      <w:pPr>
        <w:spacing w:before="120" w:after="120"/>
        <w:rPr>
          <w:rFonts w:asciiTheme="majorHAnsi" w:hAnsiTheme="majorHAnsi" w:cs="Arial"/>
          <w:sz w:val="24"/>
          <w:szCs w:val="24"/>
        </w:rPr>
      </w:pPr>
    </w:p>
    <w:p w14:paraId="48A3155E" w14:textId="77777777" w:rsidR="00F5359F" w:rsidRPr="005629B0" w:rsidRDefault="00F5359F" w:rsidP="00F5359F">
      <w:pPr>
        <w:pBdr>
          <w:bottom w:val="single" w:sz="4" w:space="1" w:color="auto"/>
        </w:pBdr>
        <w:jc w:val="both"/>
        <w:rPr>
          <w:rFonts w:ascii="Arial" w:eastAsiaTheme="minorEastAsia" w:hAnsi="Arial" w:cs="Arial"/>
          <w:b/>
          <w:color w:val="44546A" w:themeColor="text2"/>
          <w:sz w:val="28"/>
          <w:szCs w:val="28"/>
        </w:rPr>
      </w:pPr>
      <w:r w:rsidRPr="005629B0">
        <w:rPr>
          <w:rFonts w:asciiTheme="majorHAnsi" w:hAnsiTheme="majorHAnsi" w:cs="Arial"/>
          <w:sz w:val="24"/>
          <w:szCs w:val="24"/>
        </w:rPr>
        <w:br w:type="page"/>
      </w:r>
      <w:r w:rsidRPr="005629B0">
        <w:rPr>
          <w:rFonts w:ascii="Arial" w:eastAsiaTheme="minorEastAsia" w:hAnsi="Arial" w:cs="Arial"/>
          <w:b/>
          <w:color w:val="44546A" w:themeColor="text2"/>
          <w:sz w:val="28"/>
          <w:szCs w:val="28"/>
        </w:rPr>
        <w:lastRenderedPageBreak/>
        <w:t>Publishing Information</w:t>
      </w:r>
    </w:p>
    <w:p w14:paraId="3377A392" w14:textId="77777777" w:rsidR="00F5359F" w:rsidRPr="005629B0" w:rsidRDefault="00F5359F" w:rsidP="00F5359F">
      <w:pPr>
        <w:pBdr>
          <w:bottom w:val="single" w:sz="4" w:space="1" w:color="auto"/>
        </w:pBdr>
        <w:jc w:val="both"/>
        <w:rPr>
          <w:rFonts w:ascii="Arial" w:eastAsiaTheme="minorEastAsia" w:hAnsi="Arial" w:cs="Arial"/>
          <w:b/>
          <w:sz w:val="24"/>
          <w:szCs w:val="24"/>
        </w:rPr>
      </w:pPr>
    </w:p>
    <w:p w14:paraId="0FCAEB83" w14:textId="77777777" w:rsidR="00F5359F" w:rsidRPr="005629B0" w:rsidRDefault="00F5359F" w:rsidP="00F5359F">
      <w:pPr>
        <w:jc w:val="both"/>
        <w:rPr>
          <w:rFonts w:ascii="Arial" w:eastAsiaTheme="minorEastAsia" w:hAnsi="Arial" w:cs="Arial"/>
          <w:sz w:val="20"/>
          <w:szCs w:val="20"/>
        </w:rPr>
      </w:pPr>
    </w:p>
    <w:p w14:paraId="76B9C166" w14:textId="5E395D0C" w:rsidR="00F5359F" w:rsidRPr="005629B0" w:rsidRDefault="00F5359F" w:rsidP="00F5359F">
      <w:pPr>
        <w:jc w:val="both"/>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xml:space="preserve">‘Disabled People’s Organisations Australia (DPO Australia) Submission to </w:t>
      </w:r>
      <w:r>
        <w:rPr>
          <w:rFonts w:asciiTheme="majorHAnsi" w:eastAsiaTheme="minorEastAsia" w:hAnsiTheme="majorHAnsi" w:cstheme="majorHAnsi"/>
          <w:sz w:val="24"/>
          <w:szCs w:val="24"/>
        </w:rPr>
        <w:t xml:space="preserve">the </w:t>
      </w:r>
      <w:r w:rsidR="00F270DB">
        <w:rPr>
          <w:rFonts w:asciiTheme="majorHAnsi" w:eastAsiaTheme="minorEastAsia" w:hAnsiTheme="majorHAnsi" w:cstheme="majorHAnsi"/>
          <w:sz w:val="24"/>
          <w:szCs w:val="24"/>
        </w:rPr>
        <w:t>Senate Community Affairs Legislation Committee Inquiry</w:t>
      </w:r>
      <w:r>
        <w:rPr>
          <w:rFonts w:asciiTheme="majorHAnsi" w:eastAsiaTheme="minorEastAsia" w:hAnsiTheme="majorHAnsi" w:cstheme="majorHAnsi"/>
          <w:sz w:val="24"/>
          <w:szCs w:val="24"/>
        </w:rPr>
        <w:t xml:space="preserve">: </w:t>
      </w:r>
      <w:r w:rsidR="00F270DB">
        <w:rPr>
          <w:rFonts w:asciiTheme="majorHAnsi" w:eastAsiaTheme="minorEastAsia" w:hAnsiTheme="majorHAnsi" w:cstheme="majorHAnsi"/>
          <w:sz w:val="24"/>
          <w:szCs w:val="24"/>
        </w:rPr>
        <w:t>National Disability Insurance Scheme Amendment (Quality and Safeguards Commission and Other Measures) Bill 2017</w:t>
      </w:r>
      <w:r w:rsidR="00CB70DD">
        <w:rPr>
          <w:rFonts w:asciiTheme="majorHAnsi" w:eastAsiaTheme="minorEastAsia" w:hAnsiTheme="majorHAnsi" w:cstheme="majorHAnsi"/>
          <w:sz w:val="24"/>
          <w:szCs w:val="24"/>
        </w:rPr>
        <w:t>‘</w:t>
      </w:r>
      <w:r>
        <w:rPr>
          <w:rFonts w:asciiTheme="majorHAnsi" w:eastAsiaTheme="minorEastAsia" w:hAnsiTheme="majorHAnsi" w:cstheme="majorHAnsi"/>
          <w:sz w:val="24"/>
          <w:szCs w:val="24"/>
        </w:rPr>
        <w:t>.</w:t>
      </w:r>
    </w:p>
    <w:p w14:paraId="4F3D6AD4" w14:textId="77777777" w:rsidR="00F5359F" w:rsidRPr="005629B0" w:rsidRDefault="00F5359F" w:rsidP="00F5359F">
      <w:pPr>
        <w:rPr>
          <w:rFonts w:asciiTheme="majorHAnsi" w:eastAsiaTheme="minorEastAsia" w:hAnsiTheme="majorHAnsi" w:cstheme="majorHAnsi"/>
          <w:sz w:val="24"/>
          <w:szCs w:val="24"/>
        </w:rPr>
      </w:pPr>
    </w:p>
    <w:p w14:paraId="02381BC3" w14:textId="1760DAB8" w:rsidR="00F5359F" w:rsidRPr="00CB509D" w:rsidRDefault="00CB70DD" w:rsidP="00F5359F">
      <w:pPr>
        <w:rPr>
          <w:rFonts w:asciiTheme="majorHAnsi" w:eastAsiaTheme="minorEastAsia" w:hAnsiTheme="majorHAnsi" w:cstheme="majorHAnsi"/>
        </w:rPr>
      </w:pPr>
      <w:r w:rsidRPr="00CB509D">
        <w:rPr>
          <w:rFonts w:asciiTheme="majorHAnsi" w:eastAsiaTheme="minorEastAsia" w:hAnsiTheme="majorHAnsi" w:cstheme="majorHAnsi"/>
        </w:rPr>
        <w:t>Prepared by Therese Sands on behalf of Disabled People’s Organisations Australia.</w:t>
      </w:r>
    </w:p>
    <w:p w14:paraId="03D8E744" w14:textId="77777777" w:rsidR="00F5359F" w:rsidRPr="005629B0" w:rsidRDefault="00F5359F" w:rsidP="00F5359F">
      <w:pPr>
        <w:rPr>
          <w:rFonts w:asciiTheme="majorHAnsi" w:eastAsiaTheme="minorEastAsia" w:hAnsiTheme="majorHAnsi" w:cstheme="majorHAnsi"/>
          <w:sz w:val="24"/>
          <w:szCs w:val="24"/>
        </w:rPr>
      </w:pPr>
    </w:p>
    <w:p w14:paraId="332CC118" w14:textId="0E160EDE" w:rsidR="00F5359F" w:rsidRPr="005629B0" w:rsidRDefault="00F5359F" w:rsidP="00F5359F">
      <w:pPr>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xml:space="preserve">© Disabled People’s Organisations Australia, </w:t>
      </w:r>
      <w:r w:rsidR="009E56D8">
        <w:rPr>
          <w:rFonts w:asciiTheme="majorHAnsi" w:eastAsiaTheme="minorEastAsia" w:hAnsiTheme="majorHAnsi" w:cstheme="majorHAnsi"/>
          <w:sz w:val="24"/>
          <w:szCs w:val="24"/>
        </w:rPr>
        <w:t>July</w:t>
      </w:r>
      <w:r w:rsidRPr="005629B0">
        <w:rPr>
          <w:rFonts w:asciiTheme="majorHAnsi" w:eastAsiaTheme="minorEastAsia" w:hAnsiTheme="majorHAnsi" w:cstheme="majorHAnsi"/>
          <w:sz w:val="24"/>
          <w:szCs w:val="24"/>
        </w:rPr>
        <w:t xml:space="preserve"> 2017</w:t>
      </w:r>
    </w:p>
    <w:p w14:paraId="56F881B2" w14:textId="77777777" w:rsidR="00F5359F" w:rsidRPr="005629B0" w:rsidRDefault="00F5359F" w:rsidP="00F5359F">
      <w:pPr>
        <w:rPr>
          <w:rFonts w:asciiTheme="majorHAnsi" w:eastAsiaTheme="minorEastAsia" w:hAnsiTheme="majorHAnsi" w:cstheme="majorHAnsi"/>
          <w:sz w:val="24"/>
          <w:szCs w:val="24"/>
        </w:rPr>
      </w:pPr>
    </w:p>
    <w:p w14:paraId="16946A8D" w14:textId="77777777" w:rsidR="00F5359F" w:rsidRPr="005629B0" w:rsidRDefault="00F5359F" w:rsidP="00F5359F">
      <w:pPr>
        <w:rPr>
          <w:rFonts w:asciiTheme="majorHAnsi" w:eastAsiaTheme="minorEastAsia" w:hAnsiTheme="majorHAnsi" w:cstheme="majorHAnsi"/>
          <w:sz w:val="24"/>
          <w:szCs w:val="24"/>
        </w:rPr>
      </w:pPr>
    </w:p>
    <w:p w14:paraId="56C85161" w14:textId="1902F10A" w:rsidR="00F5359F" w:rsidRPr="005629B0" w:rsidRDefault="00F5359F" w:rsidP="00BF2908">
      <w:pPr>
        <w:spacing w:after="0"/>
        <w:jc w:val="both"/>
        <w:rPr>
          <w:rFonts w:asciiTheme="majorHAnsi" w:eastAsiaTheme="minorEastAsia" w:hAnsiTheme="majorHAnsi" w:cstheme="majorHAnsi"/>
          <w:sz w:val="24"/>
          <w:szCs w:val="24"/>
        </w:rPr>
      </w:pPr>
      <w:r w:rsidRPr="005629B0">
        <w:rPr>
          <w:rFonts w:asciiTheme="majorHAnsi" w:eastAsiaTheme="minorEastAsia" w:hAnsiTheme="majorHAnsi" w:cstheme="majorHAnsi"/>
          <w:sz w:val="24"/>
          <w:szCs w:val="24"/>
        </w:rPr>
        <w:t xml:space="preserve">© This work is copyright. Apart from any use as permitted under the Copyright Act 1968, no part may be reproduced without written permission from the Disabled People’s Organisations Australia (DPO Australia). All possible care has been taken in the preparation of the information contained in this document. </w:t>
      </w:r>
      <w:r w:rsidR="00344001">
        <w:rPr>
          <w:rFonts w:asciiTheme="majorHAnsi" w:eastAsiaTheme="minorEastAsia" w:hAnsiTheme="majorHAnsi" w:cstheme="majorHAnsi"/>
          <w:sz w:val="24"/>
          <w:szCs w:val="24"/>
        </w:rPr>
        <w:t>DPO Australia</w:t>
      </w:r>
      <w:r w:rsidRPr="005629B0">
        <w:rPr>
          <w:rFonts w:asciiTheme="majorHAnsi" w:eastAsiaTheme="minorEastAsia" w:hAnsiTheme="majorHAnsi" w:cstheme="majorHAnsi"/>
          <w:sz w:val="24"/>
          <w:szCs w:val="24"/>
        </w:rPr>
        <w:t xml:space="preserve"> disclaims any liability for the accuracy and sufficiency of the information and under no circumstances shall be liable in negligence or otherwise in or arising out of the preparation or supply of any of the information aforesaid.</w:t>
      </w:r>
    </w:p>
    <w:p w14:paraId="5DE6CBE1" w14:textId="77777777" w:rsidR="00F5359F" w:rsidRPr="005629B0" w:rsidRDefault="00F5359F" w:rsidP="00F5359F">
      <w:pPr>
        <w:jc w:val="both"/>
        <w:rPr>
          <w:rFonts w:ascii="Arial" w:eastAsiaTheme="minorEastAsia" w:hAnsi="Arial" w:cs="Arial"/>
        </w:rPr>
      </w:pPr>
    </w:p>
    <w:p w14:paraId="7A28682D" w14:textId="77777777" w:rsidR="00F5359F" w:rsidRPr="005629B0" w:rsidRDefault="00F5359F" w:rsidP="00F5359F">
      <w:pPr>
        <w:jc w:val="both"/>
        <w:rPr>
          <w:rFonts w:ascii="Arial" w:eastAsiaTheme="minorEastAsia" w:hAnsi="Arial" w:cs="Arial"/>
        </w:rPr>
      </w:pPr>
    </w:p>
    <w:p w14:paraId="7B3186B2" w14:textId="77777777" w:rsidR="00F5359F" w:rsidRPr="005629B0" w:rsidRDefault="00F5359F" w:rsidP="00F5359F">
      <w:pPr>
        <w:jc w:val="both"/>
        <w:rPr>
          <w:rFonts w:ascii="Arial" w:eastAsiaTheme="minorEastAsia" w:hAnsi="Arial" w:cs="Arial"/>
        </w:rPr>
      </w:pPr>
    </w:p>
    <w:p w14:paraId="64CD0E8E" w14:textId="77777777" w:rsidR="00645A1D" w:rsidRDefault="00645A1D" w:rsidP="00F5359F">
      <w:pPr>
        <w:pBdr>
          <w:bottom w:val="single" w:sz="4" w:space="1" w:color="auto"/>
        </w:pBdr>
        <w:jc w:val="both"/>
        <w:rPr>
          <w:rFonts w:ascii="Arial" w:eastAsiaTheme="minorEastAsia" w:hAnsi="Arial" w:cs="Arial"/>
          <w:b/>
          <w:color w:val="44546A" w:themeColor="text2"/>
          <w:sz w:val="28"/>
          <w:szCs w:val="28"/>
        </w:rPr>
      </w:pPr>
    </w:p>
    <w:p w14:paraId="29B45B8B" w14:textId="77777777" w:rsidR="00645A1D" w:rsidRDefault="00645A1D" w:rsidP="00F5359F">
      <w:pPr>
        <w:pBdr>
          <w:bottom w:val="single" w:sz="4" w:space="1" w:color="auto"/>
        </w:pBdr>
        <w:jc w:val="both"/>
        <w:rPr>
          <w:rFonts w:ascii="Arial" w:eastAsiaTheme="minorEastAsia" w:hAnsi="Arial" w:cs="Arial"/>
          <w:b/>
          <w:color w:val="44546A" w:themeColor="text2"/>
          <w:sz w:val="28"/>
          <w:szCs w:val="28"/>
        </w:rPr>
      </w:pPr>
    </w:p>
    <w:p w14:paraId="654AE528" w14:textId="77777777" w:rsidR="00F5359F" w:rsidRPr="005629B0" w:rsidRDefault="00F5359F" w:rsidP="00F5359F">
      <w:pPr>
        <w:pBdr>
          <w:bottom w:val="single" w:sz="4" w:space="1" w:color="auto"/>
        </w:pBdr>
        <w:jc w:val="both"/>
        <w:rPr>
          <w:rFonts w:ascii="Arial" w:eastAsiaTheme="minorEastAsia" w:hAnsi="Arial" w:cs="Arial"/>
          <w:b/>
          <w:color w:val="44546A" w:themeColor="text2"/>
          <w:sz w:val="28"/>
          <w:szCs w:val="28"/>
        </w:rPr>
      </w:pPr>
      <w:r w:rsidRPr="005629B0">
        <w:rPr>
          <w:rFonts w:ascii="Arial" w:eastAsiaTheme="minorEastAsia" w:hAnsi="Arial" w:cs="Arial"/>
          <w:b/>
          <w:color w:val="44546A" w:themeColor="text2"/>
          <w:sz w:val="28"/>
          <w:szCs w:val="28"/>
        </w:rPr>
        <w:t>Contact for this Submission</w:t>
      </w:r>
    </w:p>
    <w:p w14:paraId="05462758" w14:textId="77777777" w:rsidR="00F5359F" w:rsidRPr="005629B0" w:rsidRDefault="00F5359F" w:rsidP="00F5359F">
      <w:pPr>
        <w:pBdr>
          <w:bottom w:val="single" w:sz="4" w:space="1" w:color="auto"/>
        </w:pBdr>
        <w:jc w:val="both"/>
        <w:rPr>
          <w:rFonts w:ascii="Arial" w:eastAsiaTheme="minorEastAsia" w:hAnsi="Arial" w:cs="Arial"/>
          <w:sz w:val="24"/>
          <w:szCs w:val="28"/>
        </w:rPr>
      </w:pPr>
    </w:p>
    <w:p w14:paraId="55A37FBA"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Therese Sands</w:t>
      </w:r>
    </w:p>
    <w:p w14:paraId="7C67F3A2"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Director</w:t>
      </w:r>
    </w:p>
    <w:p w14:paraId="3AFA91BA"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Disabled People’s Organisations Australia</w:t>
      </w:r>
    </w:p>
    <w:p w14:paraId="39B55A6C"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 xml:space="preserve">Email: </w:t>
      </w:r>
      <w:hyperlink r:id="rId10" w:history="1">
        <w:r w:rsidRPr="004007B0">
          <w:rPr>
            <w:rStyle w:val="Hyperlink"/>
            <w:rFonts w:asciiTheme="majorHAnsi" w:eastAsiaTheme="minorEastAsia" w:hAnsiTheme="majorHAnsi" w:cstheme="majorHAnsi"/>
            <w:sz w:val="24"/>
            <w:szCs w:val="24"/>
          </w:rPr>
          <w:t>director@dpoa.org.au</w:t>
        </w:r>
      </w:hyperlink>
      <w:r w:rsidRPr="004007B0">
        <w:rPr>
          <w:rFonts w:asciiTheme="majorHAnsi" w:eastAsiaTheme="minorEastAsia" w:hAnsiTheme="majorHAnsi" w:cstheme="majorHAnsi"/>
          <w:sz w:val="24"/>
          <w:szCs w:val="24"/>
        </w:rPr>
        <w:t xml:space="preserve"> </w:t>
      </w:r>
      <w:hyperlink r:id="rId11" w:history="1"/>
    </w:p>
    <w:p w14:paraId="7D5AB081" w14:textId="77777777" w:rsidR="00F5359F" w:rsidRPr="004007B0" w:rsidRDefault="00F5359F" w:rsidP="001F1836">
      <w:pPr>
        <w:spacing w:after="0" w:line="240" w:lineRule="auto"/>
        <w:rPr>
          <w:rFonts w:asciiTheme="majorHAnsi" w:eastAsiaTheme="minorEastAsia" w:hAnsiTheme="majorHAnsi" w:cstheme="majorHAnsi"/>
          <w:sz w:val="24"/>
          <w:szCs w:val="24"/>
        </w:rPr>
      </w:pPr>
      <w:r w:rsidRPr="004007B0">
        <w:rPr>
          <w:rFonts w:asciiTheme="majorHAnsi" w:eastAsiaTheme="minorEastAsia" w:hAnsiTheme="majorHAnsi" w:cstheme="majorHAnsi"/>
          <w:sz w:val="24"/>
          <w:szCs w:val="24"/>
        </w:rPr>
        <w:t>Phone: (02) 9370 3100</w:t>
      </w:r>
    </w:p>
    <w:p w14:paraId="1B324BD0" w14:textId="77777777" w:rsidR="00F5359F" w:rsidRPr="004007B0" w:rsidRDefault="00F5359F" w:rsidP="00F5359F">
      <w:pPr>
        <w:rPr>
          <w:rFonts w:asciiTheme="majorHAnsi" w:eastAsiaTheme="minorEastAsia" w:hAnsiTheme="majorHAnsi" w:cstheme="majorHAnsi"/>
          <w:sz w:val="24"/>
          <w:szCs w:val="24"/>
        </w:rPr>
      </w:pPr>
    </w:p>
    <w:p w14:paraId="714A0956" w14:textId="77777777" w:rsidR="00CB70DD" w:rsidRDefault="00CB70DD">
      <w:r>
        <w:rPr>
          <w:b/>
          <w:bCs/>
        </w:rPr>
        <w:br w:type="page"/>
      </w:r>
    </w:p>
    <w:sdt>
      <w:sdtPr>
        <w:rPr>
          <w:rFonts w:ascii="Calibri" w:eastAsia="Calibri" w:hAnsi="Calibri" w:cs="Times New Roman"/>
          <w:b w:val="0"/>
          <w:bCs w:val="0"/>
          <w:color w:val="auto"/>
          <w:sz w:val="22"/>
          <w:szCs w:val="22"/>
          <w:lang w:val="en-AU" w:eastAsia="en-US"/>
        </w:rPr>
        <w:id w:val="1903249798"/>
        <w:docPartObj>
          <w:docPartGallery w:val="Table of Contents"/>
          <w:docPartUnique/>
        </w:docPartObj>
      </w:sdtPr>
      <w:sdtEndPr>
        <w:rPr>
          <w:noProof/>
        </w:rPr>
      </w:sdtEndPr>
      <w:sdtContent>
        <w:p w14:paraId="144CDBE7" w14:textId="45B9504A" w:rsidR="00F5359F" w:rsidRPr="005629B0" w:rsidRDefault="00F5359F" w:rsidP="00F5359F">
          <w:pPr>
            <w:pStyle w:val="TOCHeading"/>
            <w:spacing w:after="240"/>
            <w:rPr>
              <w:lang w:val="en-AU"/>
            </w:rPr>
          </w:pPr>
          <w:r w:rsidRPr="005629B0">
            <w:rPr>
              <w:lang w:val="en-AU"/>
            </w:rPr>
            <w:t>Contents</w:t>
          </w:r>
        </w:p>
        <w:p w14:paraId="372CC9B5" w14:textId="77777777" w:rsidR="00645A1D" w:rsidRDefault="00F5359F">
          <w:pPr>
            <w:pStyle w:val="TOC1"/>
            <w:tabs>
              <w:tab w:val="left" w:pos="440"/>
              <w:tab w:val="right" w:leader="dot" w:pos="9622"/>
            </w:tabs>
            <w:rPr>
              <w:rFonts w:asciiTheme="minorHAnsi" w:eastAsiaTheme="minorEastAsia" w:hAnsiTheme="minorHAnsi" w:cstheme="minorBidi"/>
              <w:noProof/>
              <w:lang w:eastAsia="en-AU"/>
            </w:rPr>
          </w:pPr>
          <w:r w:rsidRPr="005629B0">
            <w:fldChar w:fldCharType="begin"/>
          </w:r>
          <w:r w:rsidRPr="005629B0">
            <w:instrText xml:space="preserve"> TOC \o "1-3" \h \z \u </w:instrText>
          </w:r>
          <w:r w:rsidRPr="005629B0">
            <w:fldChar w:fldCharType="separate"/>
          </w:r>
          <w:hyperlink w:anchor="_Toc489183544" w:history="1">
            <w:r w:rsidR="00645A1D" w:rsidRPr="00154399">
              <w:rPr>
                <w:rStyle w:val="Hyperlink"/>
                <w:noProof/>
              </w:rPr>
              <w:t>1.</w:t>
            </w:r>
            <w:r w:rsidR="00645A1D">
              <w:rPr>
                <w:rFonts w:asciiTheme="minorHAnsi" w:eastAsiaTheme="minorEastAsia" w:hAnsiTheme="minorHAnsi" w:cstheme="minorBidi"/>
                <w:noProof/>
                <w:lang w:eastAsia="en-AU"/>
              </w:rPr>
              <w:tab/>
            </w:r>
            <w:r w:rsidR="00645A1D" w:rsidRPr="00154399">
              <w:rPr>
                <w:rStyle w:val="Hyperlink"/>
                <w:noProof/>
              </w:rPr>
              <w:t>Disabled People’s Organisations Australia (DPO Australia)</w:t>
            </w:r>
            <w:r w:rsidR="00645A1D">
              <w:rPr>
                <w:noProof/>
                <w:webHidden/>
              </w:rPr>
              <w:tab/>
            </w:r>
            <w:r w:rsidR="00645A1D">
              <w:rPr>
                <w:noProof/>
                <w:webHidden/>
              </w:rPr>
              <w:fldChar w:fldCharType="begin"/>
            </w:r>
            <w:r w:rsidR="00645A1D">
              <w:rPr>
                <w:noProof/>
                <w:webHidden/>
              </w:rPr>
              <w:instrText xml:space="preserve"> PAGEREF _Toc489183544 \h </w:instrText>
            </w:r>
            <w:r w:rsidR="00645A1D">
              <w:rPr>
                <w:noProof/>
                <w:webHidden/>
              </w:rPr>
            </w:r>
            <w:r w:rsidR="00645A1D">
              <w:rPr>
                <w:noProof/>
                <w:webHidden/>
              </w:rPr>
              <w:fldChar w:fldCharType="separate"/>
            </w:r>
            <w:r w:rsidR="00645A1D">
              <w:rPr>
                <w:noProof/>
                <w:webHidden/>
              </w:rPr>
              <w:t>3</w:t>
            </w:r>
            <w:r w:rsidR="00645A1D">
              <w:rPr>
                <w:noProof/>
                <w:webHidden/>
              </w:rPr>
              <w:fldChar w:fldCharType="end"/>
            </w:r>
          </w:hyperlink>
        </w:p>
        <w:p w14:paraId="4C430616" w14:textId="77777777" w:rsidR="00645A1D" w:rsidRDefault="005772E0">
          <w:pPr>
            <w:pStyle w:val="TOC1"/>
            <w:tabs>
              <w:tab w:val="left" w:pos="440"/>
              <w:tab w:val="right" w:leader="dot" w:pos="9622"/>
            </w:tabs>
            <w:rPr>
              <w:rFonts w:asciiTheme="minorHAnsi" w:eastAsiaTheme="minorEastAsia" w:hAnsiTheme="minorHAnsi" w:cstheme="minorBidi"/>
              <w:noProof/>
              <w:lang w:eastAsia="en-AU"/>
            </w:rPr>
          </w:pPr>
          <w:hyperlink w:anchor="_Toc489183545" w:history="1">
            <w:r w:rsidR="00645A1D" w:rsidRPr="00154399">
              <w:rPr>
                <w:rStyle w:val="Hyperlink"/>
                <w:noProof/>
              </w:rPr>
              <w:t>2.</w:t>
            </w:r>
            <w:r w:rsidR="00645A1D">
              <w:rPr>
                <w:rFonts w:asciiTheme="minorHAnsi" w:eastAsiaTheme="minorEastAsia" w:hAnsiTheme="minorHAnsi" w:cstheme="minorBidi"/>
                <w:noProof/>
                <w:lang w:eastAsia="en-AU"/>
              </w:rPr>
              <w:tab/>
            </w:r>
            <w:r w:rsidR="00645A1D" w:rsidRPr="00154399">
              <w:rPr>
                <w:rStyle w:val="Hyperlink"/>
                <w:noProof/>
              </w:rPr>
              <w:t>Introduction</w:t>
            </w:r>
            <w:r w:rsidR="00645A1D">
              <w:rPr>
                <w:noProof/>
                <w:webHidden/>
              </w:rPr>
              <w:tab/>
            </w:r>
            <w:r w:rsidR="00645A1D">
              <w:rPr>
                <w:noProof/>
                <w:webHidden/>
              </w:rPr>
              <w:fldChar w:fldCharType="begin"/>
            </w:r>
            <w:r w:rsidR="00645A1D">
              <w:rPr>
                <w:noProof/>
                <w:webHidden/>
              </w:rPr>
              <w:instrText xml:space="preserve"> PAGEREF _Toc489183545 \h </w:instrText>
            </w:r>
            <w:r w:rsidR="00645A1D">
              <w:rPr>
                <w:noProof/>
                <w:webHidden/>
              </w:rPr>
            </w:r>
            <w:r w:rsidR="00645A1D">
              <w:rPr>
                <w:noProof/>
                <w:webHidden/>
              </w:rPr>
              <w:fldChar w:fldCharType="separate"/>
            </w:r>
            <w:r w:rsidR="00645A1D">
              <w:rPr>
                <w:noProof/>
                <w:webHidden/>
              </w:rPr>
              <w:t>4</w:t>
            </w:r>
            <w:r w:rsidR="00645A1D">
              <w:rPr>
                <w:noProof/>
                <w:webHidden/>
              </w:rPr>
              <w:fldChar w:fldCharType="end"/>
            </w:r>
          </w:hyperlink>
        </w:p>
        <w:p w14:paraId="424D51F5" w14:textId="77777777" w:rsidR="00645A1D" w:rsidRDefault="005772E0">
          <w:pPr>
            <w:pStyle w:val="TOC1"/>
            <w:tabs>
              <w:tab w:val="left" w:pos="440"/>
              <w:tab w:val="right" w:leader="dot" w:pos="9622"/>
            </w:tabs>
            <w:rPr>
              <w:rFonts w:asciiTheme="minorHAnsi" w:eastAsiaTheme="minorEastAsia" w:hAnsiTheme="minorHAnsi" w:cstheme="minorBidi"/>
              <w:noProof/>
              <w:lang w:eastAsia="en-AU"/>
            </w:rPr>
          </w:pPr>
          <w:hyperlink w:anchor="_Toc489183546" w:history="1">
            <w:r w:rsidR="00645A1D" w:rsidRPr="00154399">
              <w:rPr>
                <w:rStyle w:val="Hyperlink"/>
                <w:noProof/>
              </w:rPr>
              <w:t>3.</w:t>
            </w:r>
            <w:r w:rsidR="00645A1D">
              <w:rPr>
                <w:rFonts w:asciiTheme="minorHAnsi" w:eastAsiaTheme="minorEastAsia" w:hAnsiTheme="minorHAnsi" w:cstheme="minorBidi"/>
                <w:noProof/>
                <w:lang w:eastAsia="en-AU"/>
              </w:rPr>
              <w:tab/>
            </w:r>
            <w:r w:rsidR="00645A1D" w:rsidRPr="00154399">
              <w:rPr>
                <w:rStyle w:val="Hyperlink"/>
                <w:noProof/>
              </w:rPr>
              <w:t>Schedule 1</w:t>
            </w:r>
            <w:r w:rsidR="00645A1D">
              <w:rPr>
                <w:noProof/>
                <w:webHidden/>
              </w:rPr>
              <w:tab/>
            </w:r>
            <w:r w:rsidR="00645A1D">
              <w:rPr>
                <w:noProof/>
                <w:webHidden/>
              </w:rPr>
              <w:fldChar w:fldCharType="begin"/>
            </w:r>
            <w:r w:rsidR="00645A1D">
              <w:rPr>
                <w:noProof/>
                <w:webHidden/>
              </w:rPr>
              <w:instrText xml:space="preserve"> PAGEREF _Toc489183546 \h </w:instrText>
            </w:r>
            <w:r w:rsidR="00645A1D">
              <w:rPr>
                <w:noProof/>
                <w:webHidden/>
              </w:rPr>
            </w:r>
            <w:r w:rsidR="00645A1D">
              <w:rPr>
                <w:noProof/>
                <w:webHidden/>
              </w:rPr>
              <w:fldChar w:fldCharType="separate"/>
            </w:r>
            <w:r w:rsidR="00645A1D">
              <w:rPr>
                <w:noProof/>
                <w:webHidden/>
              </w:rPr>
              <w:t>4</w:t>
            </w:r>
            <w:r w:rsidR="00645A1D">
              <w:rPr>
                <w:noProof/>
                <w:webHidden/>
              </w:rPr>
              <w:fldChar w:fldCharType="end"/>
            </w:r>
          </w:hyperlink>
        </w:p>
        <w:p w14:paraId="2B4E0749"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47" w:history="1">
            <w:r w:rsidR="00645A1D" w:rsidRPr="00154399">
              <w:rPr>
                <w:rStyle w:val="Hyperlink"/>
                <w:noProof/>
              </w:rPr>
              <w:t>NDIS Commission and need for Royal Commission:</w:t>
            </w:r>
            <w:r w:rsidR="00645A1D">
              <w:rPr>
                <w:noProof/>
                <w:webHidden/>
              </w:rPr>
              <w:tab/>
            </w:r>
            <w:r w:rsidR="00645A1D">
              <w:rPr>
                <w:noProof/>
                <w:webHidden/>
              </w:rPr>
              <w:fldChar w:fldCharType="begin"/>
            </w:r>
            <w:r w:rsidR="00645A1D">
              <w:rPr>
                <w:noProof/>
                <w:webHidden/>
              </w:rPr>
              <w:instrText xml:space="preserve"> PAGEREF _Toc489183547 \h </w:instrText>
            </w:r>
            <w:r w:rsidR="00645A1D">
              <w:rPr>
                <w:noProof/>
                <w:webHidden/>
              </w:rPr>
            </w:r>
            <w:r w:rsidR="00645A1D">
              <w:rPr>
                <w:noProof/>
                <w:webHidden/>
              </w:rPr>
              <w:fldChar w:fldCharType="separate"/>
            </w:r>
            <w:r w:rsidR="00645A1D">
              <w:rPr>
                <w:noProof/>
                <w:webHidden/>
              </w:rPr>
              <w:t>4</w:t>
            </w:r>
            <w:r w:rsidR="00645A1D">
              <w:rPr>
                <w:noProof/>
                <w:webHidden/>
              </w:rPr>
              <w:fldChar w:fldCharType="end"/>
            </w:r>
          </w:hyperlink>
        </w:p>
        <w:p w14:paraId="6B7A48D8"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48" w:history="1">
            <w:r w:rsidR="00645A1D" w:rsidRPr="00154399">
              <w:rPr>
                <w:rStyle w:val="Hyperlink"/>
                <w:noProof/>
              </w:rPr>
              <w:t>NDIS Rules:</w:t>
            </w:r>
            <w:r w:rsidR="00645A1D">
              <w:rPr>
                <w:noProof/>
                <w:webHidden/>
              </w:rPr>
              <w:tab/>
            </w:r>
            <w:r w:rsidR="00645A1D">
              <w:rPr>
                <w:noProof/>
                <w:webHidden/>
              </w:rPr>
              <w:fldChar w:fldCharType="begin"/>
            </w:r>
            <w:r w:rsidR="00645A1D">
              <w:rPr>
                <w:noProof/>
                <w:webHidden/>
              </w:rPr>
              <w:instrText xml:space="preserve"> PAGEREF _Toc489183548 \h </w:instrText>
            </w:r>
            <w:r w:rsidR="00645A1D">
              <w:rPr>
                <w:noProof/>
                <w:webHidden/>
              </w:rPr>
            </w:r>
            <w:r w:rsidR="00645A1D">
              <w:rPr>
                <w:noProof/>
                <w:webHidden/>
              </w:rPr>
              <w:fldChar w:fldCharType="separate"/>
            </w:r>
            <w:r w:rsidR="00645A1D">
              <w:rPr>
                <w:noProof/>
                <w:webHidden/>
              </w:rPr>
              <w:t>6</w:t>
            </w:r>
            <w:r w:rsidR="00645A1D">
              <w:rPr>
                <w:noProof/>
                <w:webHidden/>
              </w:rPr>
              <w:fldChar w:fldCharType="end"/>
            </w:r>
          </w:hyperlink>
        </w:p>
        <w:p w14:paraId="4D4971B1"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49" w:history="1">
            <w:r w:rsidR="00645A1D" w:rsidRPr="00154399">
              <w:rPr>
                <w:rStyle w:val="Hyperlink"/>
                <w:noProof/>
              </w:rPr>
              <w:t>Independence of the NDIS Commissioner:</w:t>
            </w:r>
            <w:r w:rsidR="00645A1D">
              <w:rPr>
                <w:noProof/>
                <w:webHidden/>
              </w:rPr>
              <w:tab/>
            </w:r>
            <w:r w:rsidR="00645A1D">
              <w:rPr>
                <w:noProof/>
                <w:webHidden/>
              </w:rPr>
              <w:fldChar w:fldCharType="begin"/>
            </w:r>
            <w:r w:rsidR="00645A1D">
              <w:rPr>
                <w:noProof/>
                <w:webHidden/>
              </w:rPr>
              <w:instrText xml:space="preserve"> PAGEREF _Toc489183549 \h </w:instrText>
            </w:r>
            <w:r w:rsidR="00645A1D">
              <w:rPr>
                <w:noProof/>
                <w:webHidden/>
              </w:rPr>
            </w:r>
            <w:r w:rsidR="00645A1D">
              <w:rPr>
                <w:noProof/>
                <w:webHidden/>
              </w:rPr>
              <w:fldChar w:fldCharType="separate"/>
            </w:r>
            <w:r w:rsidR="00645A1D">
              <w:rPr>
                <w:noProof/>
                <w:webHidden/>
              </w:rPr>
              <w:t>7</w:t>
            </w:r>
            <w:r w:rsidR="00645A1D">
              <w:rPr>
                <w:noProof/>
                <w:webHidden/>
              </w:rPr>
              <w:fldChar w:fldCharType="end"/>
            </w:r>
          </w:hyperlink>
        </w:p>
        <w:p w14:paraId="159B6A72"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50" w:history="1">
            <w:r w:rsidR="00645A1D" w:rsidRPr="00154399">
              <w:rPr>
                <w:rStyle w:val="Hyperlink"/>
                <w:noProof/>
              </w:rPr>
              <w:t>National policy oversight of restrictive practices:</w:t>
            </w:r>
            <w:r w:rsidR="00645A1D">
              <w:rPr>
                <w:noProof/>
                <w:webHidden/>
              </w:rPr>
              <w:tab/>
            </w:r>
            <w:r w:rsidR="00645A1D">
              <w:rPr>
                <w:noProof/>
                <w:webHidden/>
              </w:rPr>
              <w:fldChar w:fldCharType="begin"/>
            </w:r>
            <w:r w:rsidR="00645A1D">
              <w:rPr>
                <w:noProof/>
                <w:webHidden/>
              </w:rPr>
              <w:instrText xml:space="preserve"> PAGEREF _Toc489183550 \h </w:instrText>
            </w:r>
            <w:r w:rsidR="00645A1D">
              <w:rPr>
                <w:noProof/>
                <w:webHidden/>
              </w:rPr>
            </w:r>
            <w:r w:rsidR="00645A1D">
              <w:rPr>
                <w:noProof/>
                <w:webHidden/>
              </w:rPr>
              <w:fldChar w:fldCharType="separate"/>
            </w:r>
            <w:r w:rsidR="00645A1D">
              <w:rPr>
                <w:noProof/>
                <w:webHidden/>
              </w:rPr>
              <w:t>7</w:t>
            </w:r>
            <w:r w:rsidR="00645A1D">
              <w:rPr>
                <w:noProof/>
                <w:webHidden/>
              </w:rPr>
              <w:fldChar w:fldCharType="end"/>
            </w:r>
          </w:hyperlink>
        </w:p>
        <w:p w14:paraId="064F5469"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51" w:history="1">
            <w:r w:rsidR="00645A1D" w:rsidRPr="00154399">
              <w:rPr>
                <w:rStyle w:val="Hyperlink"/>
                <w:noProof/>
              </w:rPr>
              <w:t>Independent advocacy:</w:t>
            </w:r>
            <w:r w:rsidR="00645A1D">
              <w:rPr>
                <w:noProof/>
                <w:webHidden/>
              </w:rPr>
              <w:tab/>
            </w:r>
            <w:r w:rsidR="00645A1D">
              <w:rPr>
                <w:noProof/>
                <w:webHidden/>
              </w:rPr>
              <w:fldChar w:fldCharType="begin"/>
            </w:r>
            <w:r w:rsidR="00645A1D">
              <w:rPr>
                <w:noProof/>
                <w:webHidden/>
              </w:rPr>
              <w:instrText xml:space="preserve"> PAGEREF _Toc489183551 \h </w:instrText>
            </w:r>
            <w:r w:rsidR="00645A1D">
              <w:rPr>
                <w:noProof/>
                <w:webHidden/>
              </w:rPr>
            </w:r>
            <w:r w:rsidR="00645A1D">
              <w:rPr>
                <w:noProof/>
                <w:webHidden/>
              </w:rPr>
              <w:fldChar w:fldCharType="separate"/>
            </w:r>
            <w:r w:rsidR="00645A1D">
              <w:rPr>
                <w:noProof/>
                <w:webHidden/>
              </w:rPr>
              <w:t>9</w:t>
            </w:r>
            <w:r w:rsidR="00645A1D">
              <w:rPr>
                <w:noProof/>
                <w:webHidden/>
              </w:rPr>
              <w:fldChar w:fldCharType="end"/>
            </w:r>
          </w:hyperlink>
        </w:p>
        <w:p w14:paraId="2C65EE14" w14:textId="77777777" w:rsidR="00645A1D" w:rsidRDefault="005772E0">
          <w:pPr>
            <w:pStyle w:val="TOC1"/>
            <w:tabs>
              <w:tab w:val="left" w:pos="440"/>
              <w:tab w:val="right" w:leader="dot" w:pos="9622"/>
            </w:tabs>
            <w:rPr>
              <w:rFonts w:asciiTheme="minorHAnsi" w:eastAsiaTheme="minorEastAsia" w:hAnsiTheme="minorHAnsi" w:cstheme="minorBidi"/>
              <w:noProof/>
              <w:lang w:eastAsia="en-AU"/>
            </w:rPr>
          </w:pPr>
          <w:hyperlink w:anchor="_Toc489183552" w:history="1">
            <w:r w:rsidR="00645A1D" w:rsidRPr="00154399">
              <w:rPr>
                <w:rStyle w:val="Hyperlink"/>
                <w:noProof/>
              </w:rPr>
              <w:t>4.</w:t>
            </w:r>
            <w:r w:rsidR="00645A1D">
              <w:rPr>
                <w:rFonts w:asciiTheme="minorHAnsi" w:eastAsiaTheme="minorEastAsia" w:hAnsiTheme="minorHAnsi" w:cstheme="minorBidi"/>
                <w:noProof/>
                <w:lang w:eastAsia="en-AU"/>
              </w:rPr>
              <w:tab/>
            </w:r>
            <w:r w:rsidR="00645A1D" w:rsidRPr="00154399">
              <w:rPr>
                <w:rStyle w:val="Hyperlink"/>
                <w:noProof/>
              </w:rPr>
              <w:t>Schedule 2</w:t>
            </w:r>
            <w:r w:rsidR="00645A1D">
              <w:rPr>
                <w:noProof/>
                <w:webHidden/>
              </w:rPr>
              <w:tab/>
            </w:r>
            <w:r w:rsidR="00645A1D">
              <w:rPr>
                <w:noProof/>
                <w:webHidden/>
              </w:rPr>
              <w:fldChar w:fldCharType="begin"/>
            </w:r>
            <w:r w:rsidR="00645A1D">
              <w:rPr>
                <w:noProof/>
                <w:webHidden/>
              </w:rPr>
              <w:instrText xml:space="preserve"> PAGEREF _Toc489183552 \h </w:instrText>
            </w:r>
            <w:r w:rsidR="00645A1D">
              <w:rPr>
                <w:noProof/>
                <w:webHidden/>
              </w:rPr>
            </w:r>
            <w:r w:rsidR="00645A1D">
              <w:rPr>
                <w:noProof/>
                <w:webHidden/>
              </w:rPr>
              <w:fldChar w:fldCharType="separate"/>
            </w:r>
            <w:r w:rsidR="00645A1D">
              <w:rPr>
                <w:noProof/>
                <w:webHidden/>
              </w:rPr>
              <w:t>10</w:t>
            </w:r>
            <w:r w:rsidR="00645A1D">
              <w:rPr>
                <w:noProof/>
                <w:webHidden/>
              </w:rPr>
              <w:fldChar w:fldCharType="end"/>
            </w:r>
          </w:hyperlink>
        </w:p>
        <w:p w14:paraId="5D6B3601"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53" w:history="1">
            <w:r w:rsidR="00645A1D" w:rsidRPr="00154399">
              <w:rPr>
                <w:rStyle w:val="Hyperlink"/>
                <w:noProof/>
              </w:rPr>
              <w:t>Decision-making and the CRPD:</w:t>
            </w:r>
            <w:r w:rsidR="00645A1D">
              <w:rPr>
                <w:noProof/>
                <w:webHidden/>
              </w:rPr>
              <w:tab/>
            </w:r>
            <w:r w:rsidR="00645A1D">
              <w:rPr>
                <w:noProof/>
                <w:webHidden/>
              </w:rPr>
              <w:fldChar w:fldCharType="begin"/>
            </w:r>
            <w:r w:rsidR="00645A1D">
              <w:rPr>
                <w:noProof/>
                <w:webHidden/>
              </w:rPr>
              <w:instrText xml:space="preserve"> PAGEREF _Toc489183553 \h </w:instrText>
            </w:r>
            <w:r w:rsidR="00645A1D">
              <w:rPr>
                <w:noProof/>
                <w:webHidden/>
              </w:rPr>
            </w:r>
            <w:r w:rsidR="00645A1D">
              <w:rPr>
                <w:noProof/>
                <w:webHidden/>
              </w:rPr>
              <w:fldChar w:fldCharType="separate"/>
            </w:r>
            <w:r w:rsidR="00645A1D">
              <w:rPr>
                <w:noProof/>
                <w:webHidden/>
              </w:rPr>
              <w:t>10</w:t>
            </w:r>
            <w:r w:rsidR="00645A1D">
              <w:rPr>
                <w:noProof/>
                <w:webHidden/>
              </w:rPr>
              <w:fldChar w:fldCharType="end"/>
            </w:r>
          </w:hyperlink>
        </w:p>
        <w:p w14:paraId="75039BCD"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54" w:history="1">
            <w:r w:rsidR="00645A1D" w:rsidRPr="00154399">
              <w:rPr>
                <w:rStyle w:val="Hyperlink"/>
                <w:noProof/>
              </w:rPr>
              <w:t>Chronic health conditions:</w:t>
            </w:r>
            <w:r w:rsidR="00645A1D">
              <w:rPr>
                <w:noProof/>
                <w:webHidden/>
              </w:rPr>
              <w:tab/>
            </w:r>
            <w:r w:rsidR="00645A1D">
              <w:rPr>
                <w:noProof/>
                <w:webHidden/>
              </w:rPr>
              <w:fldChar w:fldCharType="begin"/>
            </w:r>
            <w:r w:rsidR="00645A1D">
              <w:rPr>
                <w:noProof/>
                <w:webHidden/>
              </w:rPr>
              <w:instrText xml:space="preserve"> PAGEREF _Toc489183554 \h </w:instrText>
            </w:r>
            <w:r w:rsidR="00645A1D">
              <w:rPr>
                <w:noProof/>
                <w:webHidden/>
              </w:rPr>
            </w:r>
            <w:r w:rsidR="00645A1D">
              <w:rPr>
                <w:noProof/>
                <w:webHidden/>
              </w:rPr>
              <w:fldChar w:fldCharType="separate"/>
            </w:r>
            <w:r w:rsidR="00645A1D">
              <w:rPr>
                <w:noProof/>
                <w:webHidden/>
              </w:rPr>
              <w:t>11</w:t>
            </w:r>
            <w:r w:rsidR="00645A1D">
              <w:rPr>
                <w:noProof/>
                <w:webHidden/>
              </w:rPr>
              <w:fldChar w:fldCharType="end"/>
            </w:r>
          </w:hyperlink>
        </w:p>
        <w:p w14:paraId="267D06B4"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55" w:history="1">
            <w:r w:rsidR="00645A1D" w:rsidRPr="00154399">
              <w:rPr>
                <w:rStyle w:val="Hyperlink"/>
                <w:noProof/>
              </w:rPr>
              <w:t>Centrality of people with disability and co-design:</w:t>
            </w:r>
            <w:r w:rsidR="00645A1D">
              <w:rPr>
                <w:noProof/>
                <w:webHidden/>
              </w:rPr>
              <w:tab/>
            </w:r>
            <w:r w:rsidR="00645A1D">
              <w:rPr>
                <w:noProof/>
                <w:webHidden/>
              </w:rPr>
              <w:fldChar w:fldCharType="begin"/>
            </w:r>
            <w:r w:rsidR="00645A1D">
              <w:rPr>
                <w:noProof/>
                <w:webHidden/>
              </w:rPr>
              <w:instrText xml:space="preserve"> PAGEREF _Toc489183555 \h </w:instrText>
            </w:r>
            <w:r w:rsidR="00645A1D">
              <w:rPr>
                <w:noProof/>
                <w:webHidden/>
              </w:rPr>
            </w:r>
            <w:r w:rsidR="00645A1D">
              <w:rPr>
                <w:noProof/>
                <w:webHidden/>
              </w:rPr>
              <w:fldChar w:fldCharType="separate"/>
            </w:r>
            <w:r w:rsidR="00645A1D">
              <w:rPr>
                <w:noProof/>
                <w:webHidden/>
              </w:rPr>
              <w:t>12</w:t>
            </w:r>
            <w:r w:rsidR="00645A1D">
              <w:rPr>
                <w:noProof/>
                <w:webHidden/>
              </w:rPr>
              <w:fldChar w:fldCharType="end"/>
            </w:r>
          </w:hyperlink>
        </w:p>
        <w:p w14:paraId="2576EB34"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56" w:history="1">
            <w:r w:rsidR="00645A1D" w:rsidRPr="00154399">
              <w:rPr>
                <w:rStyle w:val="Hyperlink"/>
                <w:noProof/>
              </w:rPr>
              <w:t>Intersectionality:</w:t>
            </w:r>
            <w:r w:rsidR="00645A1D">
              <w:rPr>
                <w:noProof/>
                <w:webHidden/>
              </w:rPr>
              <w:tab/>
            </w:r>
            <w:r w:rsidR="00645A1D">
              <w:rPr>
                <w:noProof/>
                <w:webHidden/>
              </w:rPr>
              <w:fldChar w:fldCharType="begin"/>
            </w:r>
            <w:r w:rsidR="00645A1D">
              <w:rPr>
                <w:noProof/>
                <w:webHidden/>
              </w:rPr>
              <w:instrText xml:space="preserve"> PAGEREF _Toc489183556 \h </w:instrText>
            </w:r>
            <w:r w:rsidR="00645A1D">
              <w:rPr>
                <w:noProof/>
                <w:webHidden/>
              </w:rPr>
            </w:r>
            <w:r w:rsidR="00645A1D">
              <w:rPr>
                <w:noProof/>
                <w:webHidden/>
              </w:rPr>
              <w:fldChar w:fldCharType="separate"/>
            </w:r>
            <w:r w:rsidR="00645A1D">
              <w:rPr>
                <w:noProof/>
                <w:webHidden/>
              </w:rPr>
              <w:t>13</w:t>
            </w:r>
            <w:r w:rsidR="00645A1D">
              <w:rPr>
                <w:noProof/>
                <w:webHidden/>
              </w:rPr>
              <w:fldChar w:fldCharType="end"/>
            </w:r>
          </w:hyperlink>
        </w:p>
        <w:p w14:paraId="5E29EC20" w14:textId="77777777" w:rsidR="00645A1D" w:rsidRDefault="005772E0">
          <w:pPr>
            <w:pStyle w:val="TOC2"/>
            <w:tabs>
              <w:tab w:val="right" w:leader="dot" w:pos="9622"/>
            </w:tabs>
            <w:rPr>
              <w:rFonts w:asciiTheme="minorHAnsi" w:eastAsiaTheme="minorEastAsia" w:hAnsiTheme="minorHAnsi" w:cstheme="minorBidi"/>
              <w:noProof/>
              <w:lang w:eastAsia="en-AU"/>
            </w:rPr>
          </w:pPr>
          <w:hyperlink w:anchor="_Toc489183557" w:history="1">
            <w:r w:rsidR="00645A1D" w:rsidRPr="00154399">
              <w:rPr>
                <w:rStyle w:val="Hyperlink"/>
                <w:noProof/>
              </w:rPr>
              <w:t>People with disability and appointments to the NDIA Board:</w:t>
            </w:r>
            <w:r w:rsidR="00645A1D">
              <w:rPr>
                <w:noProof/>
                <w:webHidden/>
              </w:rPr>
              <w:tab/>
            </w:r>
            <w:r w:rsidR="00645A1D">
              <w:rPr>
                <w:noProof/>
                <w:webHidden/>
              </w:rPr>
              <w:fldChar w:fldCharType="begin"/>
            </w:r>
            <w:r w:rsidR="00645A1D">
              <w:rPr>
                <w:noProof/>
                <w:webHidden/>
              </w:rPr>
              <w:instrText xml:space="preserve"> PAGEREF _Toc489183557 \h </w:instrText>
            </w:r>
            <w:r w:rsidR="00645A1D">
              <w:rPr>
                <w:noProof/>
                <w:webHidden/>
              </w:rPr>
            </w:r>
            <w:r w:rsidR="00645A1D">
              <w:rPr>
                <w:noProof/>
                <w:webHidden/>
              </w:rPr>
              <w:fldChar w:fldCharType="separate"/>
            </w:r>
            <w:r w:rsidR="00645A1D">
              <w:rPr>
                <w:noProof/>
                <w:webHidden/>
              </w:rPr>
              <w:t>14</w:t>
            </w:r>
            <w:r w:rsidR="00645A1D">
              <w:rPr>
                <w:noProof/>
                <w:webHidden/>
              </w:rPr>
              <w:fldChar w:fldCharType="end"/>
            </w:r>
          </w:hyperlink>
        </w:p>
        <w:p w14:paraId="19A512F2" w14:textId="77777777" w:rsidR="00F5359F" w:rsidRPr="005629B0" w:rsidRDefault="00F5359F" w:rsidP="00F5359F">
          <w:r w:rsidRPr="005629B0">
            <w:rPr>
              <w:b/>
              <w:bCs/>
              <w:noProof/>
            </w:rPr>
            <w:fldChar w:fldCharType="end"/>
          </w:r>
        </w:p>
      </w:sdtContent>
    </w:sdt>
    <w:p w14:paraId="6CD47E17" w14:textId="77777777" w:rsidR="00F5359F" w:rsidRPr="005629B0" w:rsidRDefault="00F5359F" w:rsidP="00F5359F">
      <w:pPr>
        <w:pStyle w:val="NoSpacing"/>
        <w:rPr>
          <w:sz w:val="24"/>
          <w:szCs w:val="24"/>
          <w:lang w:val="en-AU"/>
        </w:rPr>
      </w:pPr>
    </w:p>
    <w:p w14:paraId="2EF630B1" w14:textId="77777777" w:rsidR="00F5359F" w:rsidRPr="005629B0" w:rsidRDefault="00F5359F" w:rsidP="00F5359F">
      <w:pPr>
        <w:rPr>
          <w:sz w:val="24"/>
          <w:szCs w:val="24"/>
        </w:rPr>
      </w:pPr>
    </w:p>
    <w:p w14:paraId="35B6C55A" w14:textId="77777777" w:rsidR="00F5359F" w:rsidRPr="005629B0" w:rsidRDefault="00F5359F" w:rsidP="00F5359F">
      <w:pPr>
        <w:pStyle w:val="NoSpacing"/>
        <w:rPr>
          <w:sz w:val="22"/>
          <w:szCs w:val="22"/>
          <w:lang w:val="en-AU"/>
        </w:rPr>
      </w:pPr>
    </w:p>
    <w:p w14:paraId="3FBDD960" w14:textId="77777777" w:rsidR="00F5359F" w:rsidRPr="005629B0" w:rsidRDefault="00F5359F" w:rsidP="00F5359F"/>
    <w:p w14:paraId="7148FCE2"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181A4F1C"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445992F4"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3B6773CE"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0AD28586"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4959176F"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79E4C82D" w14:textId="77777777" w:rsidR="00F5359F" w:rsidRPr="005629B0" w:rsidRDefault="00F5359F" w:rsidP="00F5359F">
      <w:pPr>
        <w:tabs>
          <w:tab w:val="left" w:pos="860"/>
          <w:tab w:val="right" w:pos="1134"/>
          <w:tab w:val="right" w:leader="dot" w:pos="9040"/>
          <w:tab w:val="left" w:pos="9639"/>
        </w:tabs>
        <w:ind w:left="720"/>
        <w:jc w:val="both"/>
        <w:rPr>
          <w:rFonts w:cs="Segoe UI"/>
          <w:sz w:val="20"/>
          <w:szCs w:val="20"/>
        </w:rPr>
      </w:pPr>
    </w:p>
    <w:p w14:paraId="58E051CB" w14:textId="77777777" w:rsidR="00F5359F" w:rsidRPr="005629B0" w:rsidRDefault="00F5359F" w:rsidP="00F5359F">
      <w:pPr>
        <w:rPr>
          <w:rFonts w:asciiTheme="majorHAnsi" w:hAnsiTheme="majorHAnsi" w:cs="Arial"/>
          <w:sz w:val="24"/>
          <w:szCs w:val="24"/>
        </w:rPr>
      </w:pPr>
      <w:r w:rsidRPr="005629B0">
        <w:rPr>
          <w:rFonts w:asciiTheme="majorHAnsi" w:hAnsiTheme="majorHAnsi" w:cs="Arial"/>
          <w:sz w:val="24"/>
          <w:szCs w:val="24"/>
        </w:rPr>
        <w:br w:type="page"/>
      </w:r>
    </w:p>
    <w:p w14:paraId="30AEC4DE" w14:textId="77777777" w:rsidR="00F5359F" w:rsidRPr="005629B0" w:rsidRDefault="00F5359F" w:rsidP="00F5359F">
      <w:pPr>
        <w:pStyle w:val="Heading1"/>
        <w:ind w:left="567" w:hanging="567"/>
      </w:pPr>
      <w:bookmarkStart w:id="1" w:name="_Toc489183544"/>
      <w:r w:rsidRPr="005629B0">
        <w:lastRenderedPageBreak/>
        <w:t>Disabled People’s Organisations Australia (DPO Australia)</w:t>
      </w:r>
      <w:bookmarkEnd w:id="1"/>
    </w:p>
    <w:p w14:paraId="3BC3569C" w14:textId="77777777" w:rsidR="00F5359F" w:rsidRPr="005629B0" w:rsidRDefault="00F5359F" w:rsidP="00F5359F">
      <w:pPr>
        <w:pBdr>
          <w:bottom w:val="single" w:sz="12" w:space="1" w:color="auto"/>
        </w:pBdr>
        <w:rPr>
          <w:sz w:val="16"/>
          <w:szCs w:val="16"/>
        </w:rPr>
      </w:pPr>
    </w:p>
    <w:p w14:paraId="4FDE6FF8"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Disabled People’s Organisations Australia (DPO Australia) is an alliance of four national DPOs in Australia.  DPOs are organisations that are governed, led by and constituted of people with disability.</w:t>
      </w:r>
    </w:p>
    <w:p w14:paraId="237A5A02"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 xml:space="preserve">The key purpose of the DPO Australia is to promote, protect and advance the human rights and freedoms of people with disability in Australia by working collaboratively on areas of shared interests, purposes and strategic priorities and opportunities. </w:t>
      </w:r>
    </w:p>
    <w:p w14:paraId="63F631F2" w14:textId="3850E136" w:rsidR="007D3BAE" w:rsidRDefault="007D3BAE" w:rsidP="007D3B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Theme="majorHAnsi" w:hAnsiTheme="majorHAnsi" w:cs="Arial"/>
          <w:sz w:val="24"/>
          <w:szCs w:val="24"/>
        </w:rPr>
      </w:pPr>
      <w:r>
        <w:rPr>
          <w:rFonts w:asciiTheme="majorHAnsi" w:hAnsiTheme="majorHAnsi" w:cs="Arial"/>
          <w:sz w:val="24"/>
          <w:szCs w:val="24"/>
        </w:rPr>
        <w:t xml:space="preserve">DPO Australia is made up of four national </w:t>
      </w:r>
      <w:r w:rsidR="009E579A">
        <w:rPr>
          <w:rFonts w:asciiTheme="majorHAnsi" w:hAnsiTheme="majorHAnsi" w:cs="Arial"/>
          <w:sz w:val="24"/>
          <w:szCs w:val="24"/>
        </w:rPr>
        <w:t>peak</w:t>
      </w:r>
      <w:r>
        <w:rPr>
          <w:rFonts w:asciiTheme="majorHAnsi" w:hAnsiTheme="majorHAnsi" w:cs="Arial"/>
          <w:sz w:val="24"/>
          <w:szCs w:val="24"/>
        </w:rPr>
        <w:t xml:space="preserve"> DPOs that have been funded by the Australian Government to represent the views of people with disability</w:t>
      </w:r>
      <w:r w:rsidR="009E579A">
        <w:rPr>
          <w:rFonts w:asciiTheme="majorHAnsi" w:hAnsiTheme="majorHAnsi" w:cs="Arial"/>
          <w:sz w:val="24"/>
          <w:szCs w:val="24"/>
        </w:rPr>
        <w:t xml:space="preserve"> and </w:t>
      </w:r>
      <w:r>
        <w:rPr>
          <w:rFonts w:asciiTheme="majorHAnsi" w:hAnsiTheme="majorHAnsi" w:cs="Arial"/>
          <w:sz w:val="24"/>
          <w:szCs w:val="24"/>
        </w:rPr>
        <w:t>provide advice to Gove</w:t>
      </w:r>
      <w:r w:rsidR="009E579A">
        <w:rPr>
          <w:rFonts w:asciiTheme="majorHAnsi" w:hAnsiTheme="majorHAnsi" w:cs="Arial"/>
          <w:sz w:val="24"/>
          <w:szCs w:val="24"/>
        </w:rPr>
        <w:t>rnment/s and other stakeholders.</w:t>
      </w:r>
      <w:r>
        <w:rPr>
          <w:rFonts w:asciiTheme="majorHAnsi" w:hAnsiTheme="majorHAnsi" w:cs="Arial"/>
          <w:sz w:val="24"/>
          <w:szCs w:val="24"/>
        </w:rPr>
        <w:t xml:space="preserve">  </w:t>
      </w:r>
    </w:p>
    <w:p w14:paraId="33A9370B" w14:textId="77777777" w:rsidR="00F5359F" w:rsidRPr="004007B0"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4007B0">
        <w:rPr>
          <w:rFonts w:asciiTheme="majorHAnsi" w:hAnsiTheme="majorHAnsi" w:cs="Arial"/>
          <w:sz w:val="24"/>
          <w:szCs w:val="24"/>
        </w:rPr>
        <w:t>The four DPO Australia members are:</w:t>
      </w:r>
    </w:p>
    <w:p w14:paraId="2E7F976D" w14:textId="77777777" w:rsidR="0032799A" w:rsidRPr="004007B0" w:rsidRDefault="005772E0" w:rsidP="003279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2" w:history="1">
        <w:r w:rsidR="0032799A" w:rsidRPr="004007B0">
          <w:rPr>
            <w:rStyle w:val="Hyperlink"/>
            <w:rFonts w:asciiTheme="majorHAnsi" w:hAnsiTheme="majorHAnsi" w:cs="Arial"/>
            <w:sz w:val="24"/>
            <w:szCs w:val="24"/>
          </w:rPr>
          <w:t>First Peoples Disability Network Australia (FPDN)</w:t>
        </w:r>
      </w:hyperlink>
      <w:r w:rsidR="0032799A" w:rsidRPr="004007B0">
        <w:rPr>
          <w:rFonts w:asciiTheme="majorHAnsi" w:hAnsiTheme="majorHAnsi" w:cs="Arial"/>
          <w:sz w:val="24"/>
          <w:szCs w:val="24"/>
        </w:rPr>
        <w:t xml:space="preserve"> is the national DPO representing Aboriginal and Torres Strait Islander people with disability and their families. FPDN utilises a range of strategies in its representative role, including through the provision of high-level advice to governments, and educating the government and non-government sectors about how to meet the unmet needs of Aboriginal and Torres Strait Islander people with disability.</w:t>
      </w:r>
    </w:p>
    <w:p w14:paraId="7DB17E94" w14:textId="11DCAC10" w:rsidR="00F5359F" w:rsidRPr="004007B0" w:rsidRDefault="005772E0"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3" w:history="1">
        <w:proofErr w:type="gramStart"/>
        <w:r w:rsidR="00F5359F" w:rsidRPr="004007B0">
          <w:rPr>
            <w:rStyle w:val="Hyperlink"/>
            <w:rFonts w:asciiTheme="majorHAnsi" w:hAnsiTheme="majorHAnsi" w:cs="Arial"/>
            <w:sz w:val="24"/>
            <w:szCs w:val="24"/>
          </w:rPr>
          <w:t>Women With Disabilities Australia (WWDA)</w:t>
        </w:r>
      </w:hyperlink>
      <w:r w:rsidR="00F5359F" w:rsidRPr="004007B0">
        <w:rPr>
          <w:rFonts w:asciiTheme="majorHAnsi" w:hAnsiTheme="majorHAnsi" w:cs="Arial"/>
          <w:sz w:val="24"/>
          <w:szCs w:val="24"/>
        </w:rPr>
        <w:t xml:space="preserve"> is</w:t>
      </w:r>
      <w:proofErr w:type="gramEnd"/>
      <w:r w:rsidR="00F5359F" w:rsidRPr="004007B0">
        <w:rPr>
          <w:rFonts w:asciiTheme="majorHAnsi" w:hAnsiTheme="majorHAnsi" w:cs="Arial"/>
          <w:sz w:val="24"/>
          <w:szCs w:val="24"/>
        </w:rPr>
        <w:t xml:space="preserve"> the national DPO for women and girls with all types of disabilities in Australia. It operates as a transnational human rights organisation and is run by women with disabilities, for women with disabilities. WWDA’s work is grounded in a human rights based framework which links gender and disability issues to a full range of civil, political, economic, social and cultural rights.</w:t>
      </w:r>
    </w:p>
    <w:p w14:paraId="038D8AEA" w14:textId="77777777" w:rsidR="0032799A" w:rsidRDefault="005772E0"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4" w:history="1">
        <w:r w:rsidR="0032799A" w:rsidRPr="004007B0">
          <w:rPr>
            <w:rStyle w:val="Hyperlink"/>
            <w:rFonts w:asciiTheme="majorHAnsi" w:hAnsiTheme="majorHAnsi" w:cs="Arial"/>
            <w:sz w:val="24"/>
            <w:szCs w:val="24"/>
          </w:rPr>
          <w:t>National Ethnic Disability Alliance (NEDA)</w:t>
        </w:r>
      </w:hyperlink>
      <w:r w:rsidR="0032799A" w:rsidRPr="004007B0">
        <w:rPr>
          <w:rFonts w:asciiTheme="majorHAnsi" w:hAnsiTheme="majorHAnsi" w:cs="Arial"/>
          <w:sz w:val="24"/>
          <w:szCs w:val="24"/>
        </w:rPr>
        <w:t xml:space="preserve"> is the national peak organisation representing the rights and interests of people from Culturally and Linguistically Diverse (CALD/NESB) people with disability, their families and carers throughout Australia. NEDA advocates at the federal level so that CALD/NESB people with disability can participate fully in all aspects of social, economic, political and cultural life.</w:t>
      </w:r>
    </w:p>
    <w:p w14:paraId="6B48AB6E" w14:textId="6816ED73" w:rsidR="00F5359F" w:rsidRPr="004007B0" w:rsidRDefault="005772E0"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hyperlink r:id="rId15" w:history="1">
        <w:proofErr w:type="gramStart"/>
        <w:r w:rsidR="00F5359F" w:rsidRPr="004007B0">
          <w:rPr>
            <w:rStyle w:val="Hyperlink"/>
            <w:rFonts w:asciiTheme="majorHAnsi" w:hAnsiTheme="majorHAnsi" w:cs="Arial"/>
            <w:sz w:val="24"/>
            <w:szCs w:val="24"/>
          </w:rPr>
          <w:t>People with Disability Australia (PWDA)</w:t>
        </w:r>
      </w:hyperlink>
      <w:r w:rsidR="00F5359F" w:rsidRPr="004007B0">
        <w:rPr>
          <w:rFonts w:asciiTheme="majorHAnsi" w:hAnsiTheme="majorHAnsi" w:cs="Arial"/>
          <w:sz w:val="24"/>
          <w:szCs w:val="24"/>
        </w:rPr>
        <w:t xml:space="preserve"> is</w:t>
      </w:r>
      <w:proofErr w:type="gramEnd"/>
      <w:r w:rsidR="00F5359F" w:rsidRPr="004007B0">
        <w:rPr>
          <w:rFonts w:asciiTheme="majorHAnsi" w:hAnsiTheme="majorHAnsi" w:cs="Arial"/>
          <w:sz w:val="24"/>
          <w:szCs w:val="24"/>
        </w:rPr>
        <w:t xml:space="preserve"> the national cross disability rights and advocacy organisation run by and for people with disability. Working within a human rights framework, PWDA represents the interests of people with all kinds of disability. Its primary membership is made up of people with disability and organisations primarily constituted by people with disability. It also has a large associate membership of other individuals and organisations committed to the disability rights movement.</w:t>
      </w:r>
    </w:p>
    <w:p w14:paraId="5DE57BEB" w14:textId="6FD177DC" w:rsidR="00F5359F" w:rsidRPr="00FB002E" w:rsidRDefault="00F5359F" w:rsidP="00F535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jc w:val="both"/>
        <w:rPr>
          <w:rFonts w:asciiTheme="majorHAnsi" w:hAnsiTheme="majorHAnsi" w:cs="Arial"/>
          <w:sz w:val="24"/>
          <w:szCs w:val="24"/>
        </w:rPr>
      </w:pPr>
      <w:r w:rsidRPr="005629B0">
        <w:br w:type="page"/>
      </w:r>
    </w:p>
    <w:p w14:paraId="47CFC202" w14:textId="77777777" w:rsidR="00F5359F" w:rsidRPr="005629B0" w:rsidRDefault="00F5359F" w:rsidP="00F5359F">
      <w:pPr>
        <w:pStyle w:val="Heading1"/>
        <w:ind w:left="567" w:hanging="567"/>
      </w:pPr>
      <w:bookmarkStart w:id="2" w:name="_Toc489183545"/>
      <w:r w:rsidRPr="005629B0">
        <w:lastRenderedPageBreak/>
        <w:t>Introduction</w:t>
      </w:r>
      <w:bookmarkEnd w:id="2"/>
    </w:p>
    <w:p w14:paraId="0852A630" w14:textId="77777777" w:rsidR="00F5359F" w:rsidRPr="005629B0" w:rsidRDefault="00F5359F" w:rsidP="00F5359F">
      <w:pPr>
        <w:pBdr>
          <w:bottom w:val="single" w:sz="12" w:space="1" w:color="auto"/>
        </w:pBdr>
        <w:jc w:val="right"/>
        <w:rPr>
          <w:sz w:val="16"/>
          <w:szCs w:val="16"/>
        </w:rPr>
      </w:pPr>
    </w:p>
    <w:p w14:paraId="3D397497" w14:textId="5FE8A4AA" w:rsidR="006D5DE7" w:rsidRDefault="008435A8" w:rsidP="00663F0C">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rPr>
          <w:rFonts w:cs="Calibri"/>
          <w:sz w:val="24"/>
          <w:szCs w:val="24"/>
        </w:rPr>
      </w:pPr>
      <w:r>
        <w:rPr>
          <w:rFonts w:cs="Calibri"/>
          <w:sz w:val="24"/>
          <w:szCs w:val="24"/>
        </w:rPr>
        <w:t>2.1</w:t>
      </w:r>
      <w:r>
        <w:rPr>
          <w:rFonts w:cs="Calibri"/>
          <w:sz w:val="24"/>
          <w:szCs w:val="24"/>
        </w:rPr>
        <w:tab/>
      </w:r>
      <w:r w:rsidR="00C61EF4">
        <w:rPr>
          <w:rFonts w:cs="Calibri"/>
          <w:sz w:val="24"/>
          <w:szCs w:val="24"/>
        </w:rPr>
        <w:t xml:space="preserve">DPO Australia </w:t>
      </w:r>
      <w:r w:rsidR="005D20AB">
        <w:rPr>
          <w:rFonts w:cs="Calibri"/>
          <w:sz w:val="24"/>
          <w:szCs w:val="24"/>
        </w:rPr>
        <w:t>welcomes</w:t>
      </w:r>
      <w:r w:rsidR="005D20AB" w:rsidRPr="0079699A">
        <w:rPr>
          <w:rFonts w:cs="Calibri"/>
          <w:sz w:val="24"/>
          <w:szCs w:val="24"/>
        </w:rPr>
        <w:t xml:space="preserve"> the opportunity to </w:t>
      </w:r>
      <w:r w:rsidR="005D20AB">
        <w:rPr>
          <w:rFonts w:cs="Calibri"/>
          <w:sz w:val="24"/>
          <w:szCs w:val="24"/>
        </w:rPr>
        <w:t xml:space="preserve">provide our comments to the </w:t>
      </w:r>
      <w:r w:rsidR="006D5DE7">
        <w:rPr>
          <w:rFonts w:cs="Calibri"/>
          <w:sz w:val="24"/>
          <w:szCs w:val="24"/>
        </w:rPr>
        <w:t xml:space="preserve">Senate Community Affairs Legislation Committee Inquiry into the </w:t>
      </w:r>
      <w:r w:rsidR="005D20AB">
        <w:rPr>
          <w:rFonts w:cs="Calibri"/>
          <w:sz w:val="24"/>
          <w:szCs w:val="24"/>
        </w:rPr>
        <w:t xml:space="preserve">National Disability Insurance Scheme </w:t>
      </w:r>
      <w:r w:rsidR="006D5DE7">
        <w:rPr>
          <w:rFonts w:cs="Calibri"/>
          <w:sz w:val="24"/>
          <w:szCs w:val="24"/>
        </w:rPr>
        <w:t xml:space="preserve">Amendment </w:t>
      </w:r>
      <w:r w:rsidR="005D20AB">
        <w:rPr>
          <w:rFonts w:cs="Calibri"/>
          <w:sz w:val="24"/>
          <w:szCs w:val="24"/>
        </w:rPr>
        <w:t>(</w:t>
      </w:r>
      <w:r w:rsidR="006D5DE7">
        <w:rPr>
          <w:rFonts w:cs="Calibri"/>
          <w:sz w:val="24"/>
          <w:szCs w:val="24"/>
        </w:rPr>
        <w:t>Quality and Safeguards Commission and Other Measures</w:t>
      </w:r>
      <w:r w:rsidR="005D20AB">
        <w:rPr>
          <w:rFonts w:cs="Calibri"/>
          <w:sz w:val="24"/>
          <w:szCs w:val="24"/>
        </w:rPr>
        <w:t xml:space="preserve">) </w:t>
      </w:r>
      <w:r w:rsidR="006D5DE7">
        <w:rPr>
          <w:rFonts w:cs="Calibri"/>
          <w:sz w:val="24"/>
          <w:szCs w:val="24"/>
        </w:rPr>
        <w:t>Bill 2017 (the Bill).</w:t>
      </w:r>
      <w:r w:rsidR="005D20AB">
        <w:rPr>
          <w:rFonts w:cs="Calibri"/>
          <w:sz w:val="24"/>
          <w:szCs w:val="24"/>
        </w:rPr>
        <w:t xml:space="preserve">  </w:t>
      </w:r>
    </w:p>
    <w:p w14:paraId="415A61B1" w14:textId="6DB0A1DF" w:rsidR="006D5DE7" w:rsidRDefault="00B43284" w:rsidP="00B4328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567" w:hanging="567"/>
        <w:rPr>
          <w:rFonts w:cs="Calibri"/>
          <w:sz w:val="24"/>
          <w:szCs w:val="24"/>
        </w:rPr>
      </w:pPr>
      <w:r>
        <w:rPr>
          <w:rFonts w:cs="Calibri"/>
          <w:sz w:val="24"/>
          <w:szCs w:val="24"/>
        </w:rPr>
        <w:t>2.2</w:t>
      </w:r>
      <w:r>
        <w:rPr>
          <w:rFonts w:cs="Calibri"/>
          <w:sz w:val="24"/>
          <w:szCs w:val="24"/>
        </w:rPr>
        <w:tab/>
      </w:r>
      <w:r w:rsidR="006D5DE7">
        <w:rPr>
          <w:rFonts w:cs="Calibri"/>
          <w:sz w:val="24"/>
          <w:szCs w:val="24"/>
        </w:rPr>
        <w:t xml:space="preserve">The Bill outlines amendments </w:t>
      </w:r>
      <w:r w:rsidR="00663F0C">
        <w:rPr>
          <w:rFonts w:cs="Calibri"/>
          <w:sz w:val="24"/>
          <w:szCs w:val="24"/>
        </w:rPr>
        <w:t xml:space="preserve">to the National Disability Insurance Scheme (NDIS) Act 2013 </w:t>
      </w:r>
      <w:r w:rsidR="006D5DE7">
        <w:rPr>
          <w:rFonts w:cs="Calibri"/>
          <w:sz w:val="24"/>
          <w:szCs w:val="24"/>
        </w:rPr>
        <w:t>under two Schedules:</w:t>
      </w:r>
    </w:p>
    <w:p w14:paraId="21D1CA77" w14:textId="7945BDBA" w:rsidR="006D5DE7" w:rsidRDefault="006D5DE7" w:rsidP="00F42F40">
      <w:pPr>
        <w:pStyle w:val="ListParagraph"/>
        <w:widowControl w:val="0"/>
        <w:numPr>
          <w:ilvl w:val="0"/>
          <w:numId w:val="1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851" w:hanging="284"/>
        <w:contextualSpacing w:val="0"/>
        <w:rPr>
          <w:rFonts w:cs="Calibri"/>
          <w:sz w:val="24"/>
          <w:szCs w:val="24"/>
        </w:rPr>
      </w:pPr>
      <w:r>
        <w:rPr>
          <w:rFonts w:cs="Calibri"/>
          <w:sz w:val="24"/>
          <w:szCs w:val="24"/>
        </w:rPr>
        <w:t xml:space="preserve">Schedule 1 establishes a </w:t>
      </w:r>
      <w:r w:rsidR="00663F0C">
        <w:rPr>
          <w:rFonts w:cs="Calibri"/>
          <w:sz w:val="24"/>
          <w:szCs w:val="24"/>
        </w:rPr>
        <w:t xml:space="preserve">NDIS </w:t>
      </w:r>
      <w:r>
        <w:rPr>
          <w:rFonts w:cs="Calibri"/>
          <w:sz w:val="24"/>
          <w:szCs w:val="24"/>
        </w:rPr>
        <w:t>Quality and Safeguards Commission</w:t>
      </w:r>
      <w:r w:rsidR="003F7FBD">
        <w:rPr>
          <w:rFonts w:cs="Calibri"/>
          <w:sz w:val="24"/>
          <w:szCs w:val="24"/>
        </w:rPr>
        <w:t xml:space="preserve">; and </w:t>
      </w:r>
    </w:p>
    <w:p w14:paraId="5892FF09" w14:textId="49D236CF" w:rsidR="003F7FBD" w:rsidRDefault="003F7FBD" w:rsidP="00663F0C">
      <w:pPr>
        <w:pStyle w:val="ListParagraph"/>
        <w:widowControl w:val="0"/>
        <w:numPr>
          <w:ilvl w:val="0"/>
          <w:numId w:val="1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851" w:hanging="284"/>
        <w:contextualSpacing w:val="0"/>
        <w:rPr>
          <w:rFonts w:cs="Calibri"/>
          <w:sz w:val="24"/>
          <w:szCs w:val="24"/>
        </w:rPr>
      </w:pPr>
      <w:r>
        <w:rPr>
          <w:rFonts w:cs="Calibri"/>
          <w:sz w:val="24"/>
          <w:szCs w:val="24"/>
        </w:rPr>
        <w:t>Schedule 2 outlines amendments to the NDIS Act 2013 based on the outcomes of an independent review of the Act in 2015.</w:t>
      </w:r>
    </w:p>
    <w:p w14:paraId="2960EB19" w14:textId="534D3EE7" w:rsidR="00663F0C" w:rsidRPr="00663F0C" w:rsidRDefault="00BD2AC8" w:rsidP="00663F0C">
      <w:pPr>
        <w:pStyle w:val="ListParagraph"/>
        <w:widowControl w:val="0"/>
        <w:numPr>
          <w:ilvl w:val="1"/>
          <w:numId w:val="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663F0C">
        <w:rPr>
          <w:rFonts w:cs="Calibri"/>
          <w:sz w:val="24"/>
          <w:szCs w:val="24"/>
        </w:rPr>
        <w:t xml:space="preserve">This </w:t>
      </w:r>
      <w:r w:rsidR="00663F0C" w:rsidRPr="00663F0C">
        <w:rPr>
          <w:rFonts w:cs="Calibri"/>
          <w:sz w:val="24"/>
          <w:szCs w:val="24"/>
        </w:rPr>
        <w:t xml:space="preserve">NDIS Act 2013 </w:t>
      </w:r>
      <w:r w:rsidRPr="00663F0C">
        <w:rPr>
          <w:rFonts w:cs="Calibri"/>
          <w:sz w:val="24"/>
          <w:szCs w:val="24"/>
        </w:rPr>
        <w:t xml:space="preserve">is critical </w:t>
      </w:r>
      <w:r w:rsidR="00663F0C" w:rsidRPr="00663F0C">
        <w:rPr>
          <w:rFonts w:cs="Calibri"/>
          <w:sz w:val="24"/>
          <w:szCs w:val="24"/>
        </w:rPr>
        <w:t xml:space="preserve">to the implementation of human rights for people with disability as it gives effect to Australia’s obligations under the Convention on the Rights of Persons with Disabilities (CRPD) as well as certain obligations under the International Covenant on Civil and Political Rights (ICCPR), the International Covenant on Economic, Social and Cultural Rights (ICESCR), the Convention on the Rights of the Child (CRC), the Convention on the Elimination of All Forms of Discrimination Against Women </w:t>
      </w:r>
      <w:r w:rsidR="00663F0C">
        <w:rPr>
          <w:rFonts w:cs="Calibri"/>
          <w:sz w:val="24"/>
          <w:szCs w:val="24"/>
        </w:rPr>
        <w:t xml:space="preserve">(CEDAW) </w:t>
      </w:r>
      <w:r w:rsidR="00663F0C" w:rsidRPr="00663F0C">
        <w:rPr>
          <w:rFonts w:cs="Calibri"/>
          <w:sz w:val="24"/>
          <w:szCs w:val="24"/>
        </w:rPr>
        <w:t>and the International Convention on the Elimination of All Forms of Racial Discrimination (ICERD).</w:t>
      </w:r>
      <w:r w:rsidR="00663F0C">
        <w:rPr>
          <w:rStyle w:val="FootnoteReference"/>
          <w:rFonts w:cs="Calibri"/>
          <w:sz w:val="24"/>
          <w:szCs w:val="24"/>
        </w:rPr>
        <w:footnoteReference w:id="1"/>
      </w:r>
      <w:r w:rsidR="006E21D6" w:rsidRPr="006E21D6">
        <w:rPr>
          <w:rFonts w:cs="Calibri"/>
          <w:sz w:val="24"/>
          <w:szCs w:val="24"/>
        </w:rPr>
        <w:t xml:space="preserve"> </w:t>
      </w:r>
      <w:r w:rsidR="006E21D6">
        <w:rPr>
          <w:rFonts w:cs="Calibri"/>
          <w:sz w:val="24"/>
          <w:szCs w:val="24"/>
        </w:rPr>
        <w:t xml:space="preserve"> Any amendments to the NDIS Act must further advance the rights of people with disability.</w:t>
      </w:r>
    </w:p>
    <w:p w14:paraId="14A77FFC" w14:textId="55731150" w:rsidR="007F1312" w:rsidRPr="006E21D6" w:rsidRDefault="007F1312" w:rsidP="006E21D6">
      <w:pPr>
        <w:pStyle w:val="ListParagraph"/>
        <w:widowControl w:val="0"/>
        <w:numPr>
          <w:ilvl w:val="1"/>
          <w:numId w:val="1"/>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6E21D6">
        <w:rPr>
          <w:rFonts w:cs="Calibri"/>
          <w:sz w:val="24"/>
          <w:szCs w:val="24"/>
        </w:rPr>
        <w:t xml:space="preserve">This submission </w:t>
      </w:r>
      <w:r w:rsidR="000B31D8" w:rsidRPr="006E21D6">
        <w:rPr>
          <w:rFonts w:cs="Calibri"/>
          <w:sz w:val="24"/>
          <w:szCs w:val="24"/>
        </w:rPr>
        <w:t>provides</w:t>
      </w:r>
      <w:r w:rsidRPr="006E21D6">
        <w:rPr>
          <w:rFonts w:cs="Calibri"/>
          <w:sz w:val="24"/>
          <w:szCs w:val="24"/>
        </w:rPr>
        <w:t xml:space="preserve"> our </w:t>
      </w:r>
      <w:r w:rsidR="00F42F40" w:rsidRPr="006E21D6">
        <w:rPr>
          <w:rFonts w:cs="Calibri"/>
          <w:sz w:val="24"/>
          <w:szCs w:val="24"/>
        </w:rPr>
        <w:t xml:space="preserve">key </w:t>
      </w:r>
      <w:r w:rsidRPr="006E21D6">
        <w:rPr>
          <w:rFonts w:cs="Calibri"/>
          <w:sz w:val="24"/>
          <w:szCs w:val="24"/>
        </w:rPr>
        <w:t xml:space="preserve">comments </w:t>
      </w:r>
      <w:r w:rsidR="006E21D6">
        <w:rPr>
          <w:rFonts w:cs="Calibri"/>
          <w:sz w:val="24"/>
          <w:szCs w:val="24"/>
        </w:rPr>
        <w:t xml:space="preserve">regarding the amendments </w:t>
      </w:r>
      <w:r w:rsidRPr="006E21D6">
        <w:rPr>
          <w:rFonts w:cs="Calibri"/>
          <w:sz w:val="24"/>
          <w:szCs w:val="24"/>
        </w:rPr>
        <w:t>under both Schedules.</w:t>
      </w:r>
    </w:p>
    <w:p w14:paraId="3ECF315E" w14:textId="497F44FF" w:rsidR="00F42F40" w:rsidRPr="005629B0" w:rsidRDefault="00F42F40" w:rsidP="00F42F40">
      <w:pPr>
        <w:pStyle w:val="Heading1"/>
        <w:ind w:left="567" w:hanging="567"/>
      </w:pPr>
      <w:bookmarkStart w:id="3" w:name="_Toc489183546"/>
      <w:r w:rsidRPr="00F42F40">
        <w:t>Schedule 1</w:t>
      </w:r>
      <w:bookmarkEnd w:id="3"/>
    </w:p>
    <w:p w14:paraId="2DA5B5A5" w14:textId="77777777" w:rsidR="00F42F40" w:rsidRPr="005629B0" w:rsidRDefault="00F42F40" w:rsidP="00F42F40">
      <w:pPr>
        <w:pBdr>
          <w:bottom w:val="single" w:sz="12" w:space="1" w:color="auto"/>
        </w:pBdr>
        <w:jc w:val="right"/>
        <w:rPr>
          <w:sz w:val="16"/>
          <w:szCs w:val="16"/>
        </w:rPr>
      </w:pPr>
    </w:p>
    <w:p w14:paraId="1DC61873" w14:textId="66F4FC04" w:rsidR="00E92E18" w:rsidRPr="00E92E18" w:rsidRDefault="00B82578" w:rsidP="003F0482">
      <w:pPr>
        <w:pStyle w:val="Heading2"/>
      </w:pPr>
      <w:bookmarkStart w:id="4" w:name="_Toc489183547"/>
      <w:r>
        <w:t>NDIS Commission and need for Royal Commission</w:t>
      </w:r>
      <w:r w:rsidR="00E92E18" w:rsidRPr="00E92E18">
        <w:t>:</w:t>
      </w:r>
      <w:bookmarkEnd w:id="4"/>
    </w:p>
    <w:p w14:paraId="05C11A85" w14:textId="7749902F" w:rsidR="00A85683" w:rsidRPr="00F71F42" w:rsidRDefault="00F42F40" w:rsidP="00A85683">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rPr>
          <w:rFonts w:asciiTheme="minorHAnsi" w:hAnsiTheme="minorHAnsi" w:cstheme="minorHAnsi"/>
          <w:sz w:val="24"/>
          <w:szCs w:val="24"/>
        </w:rPr>
      </w:pPr>
      <w:r w:rsidRPr="00F71F42">
        <w:rPr>
          <w:rFonts w:asciiTheme="minorHAnsi" w:hAnsiTheme="minorHAnsi" w:cstheme="minorHAnsi"/>
          <w:sz w:val="24"/>
          <w:szCs w:val="24"/>
        </w:rPr>
        <w:t xml:space="preserve">3.1 </w:t>
      </w:r>
      <w:r w:rsidRPr="00F71F42">
        <w:rPr>
          <w:rFonts w:asciiTheme="minorHAnsi" w:hAnsiTheme="minorHAnsi" w:cstheme="minorHAnsi"/>
          <w:sz w:val="24"/>
          <w:szCs w:val="24"/>
        </w:rPr>
        <w:tab/>
      </w:r>
      <w:r w:rsidR="00A85683" w:rsidRPr="00F71F42">
        <w:rPr>
          <w:rFonts w:asciiTheme="minorHAnsi" w:hAnsiTheme="minorHAnsi" w:cstheme="minorHAnsi"/>
          <w:sz w:val="24"/>
          <w:szCs w:val="24"/>
        </w:rPr>
        <w:t xml:space="preserve">The issue of violence, abuse and neglect has been the subject of national and State based inquiries over recent years as well as the subject of </w:t>
      </w:r>
      <w:r w:rsidR="00F71F42" w:rsidRPr="00F71F42">
        <w:rPr>
          <w:rFonts w:asciiTheme="minorHAnsi" w:hAnsiTheme="minorHAnsi" w:cstheme="minorHAnsi"/>
          <w:sz w:val="24"/>
          <w:szCs w:val="24"/>
        </w:rPr>
        <w:t xml:space="preserve">recent </w:t>
      </w:r>
      <w:r w:rsidR="00A85683" w:rsidRPr="00F71F42">
        <w:rPr>
          <w:rFonts w:asciiTheme="minorHAnsi" w:hAnsiTheme="minorHAnsi" w:cstheme="minorHAnsi"/>
          <w:sz w:val="24"/>
          <w:szCs w:val="24"/>
        </w:rPr>
        <w:t>media reports and exposes.</w:t>
      </w:r>
      <w:r w:rsidR="005E3289">
        <w:rPr>
          <w:rStyle w:val="FootnoteReference"/>
          <w:rFonts w:asciiTheme="minorHAnsi" w:hAnsiTheme="minorHAnsi" w:cstheme="minorHAnsi"/>
          <w:sz w:val="24"/>
          <w:szCs w:val="24"/>
        </w:rPr>
        <w:footnoteReference w:id="2"/>
      </w:r>
      <w:r w:rsidR="00A85683" w:rsidRPr="00F71F42">
        <w:rPr>
          <w:rFonts w:asciiTheme="minorHAnsi" w:hAnsiTheme="minorHAnsi" w:cstheme="minorHAnsi"/>
          <w:sz w:val="24"/>
          <w:szCs w:val="24"/>
        </w:rPr>
        <w:t xml:space="preserve">  The evidence </w:t>
      </w:r>
      <w:r w:rsidR="00F71F42" w:rsidRPr="00F71F42">
        <w:rPr>
          <w:rFonts w:asciiTheme="minorHAnsi" w:hAnsiTheme="minorHAnsi" w:cstheme="minorHAnsi"/>
          <w:sz w:val="24"/>
          <w:szCs w:val="24"/>
        </w:rPr>
        <w:t xml:space="preserve">overwhelmingly </w:t>
      </w:r>
      <w:r w:rsidR="00A85683" w:rsidRPr="00F71F42">
        <w:rPr>
          <w:rFonts w:asciiTheme="minorHAnsi" w:hAnsiTheme="minorHAnsi" w:cstheme="minorHAnsi"/>
          <w:sz w:val="24"/>
          <w:szCs w:val="24"/>
        </w:rPr>
        <w:t xml:space="preserve">demonstrates that violence, abuse and neglect against people with disability </w:t>
      </w:r>
      <w:r w:rsidR="00697E96" w:rsidRPr="00F71F42">
        <w:rPr>
          <w:rFonts w:asciiTheme="minorHAnsi" w:hAnsiTheme="minorHAnsi" w:cstheme="minorHAnsi"/>
          <w:sz w:val="24"/>
          <w:szCs w:val="24"/>
        </w:rPr>
        <w:t>i</w:t>
      </w:r>
      <w:r w:rsidR="00A85683" w:rsidRPr="00F71F42">
        <w:rPr>
          <w:rFonts w:asciiTheme="minorHAnsi" w:hAnsiTheme="minorHAnsi" w:cstheme="minorHAnsi"/>
          <w:sz w:val="24"/>
          <w:szCs w:val="24"/>
        </w:rPr>
        <w:t xml:space="preserve">s prolific and an issue of national importance requiring urgent attention.  </w:t>
      </w:r>
    </w:p>
    <w:p w14:paraId="2184290C" w14:textId="41BD7BFD" w:rsidR="006C50A1" w:rsidRPr="00F71F42" w:rsidRDefault="00F71F42" w:rsidP="00F71F42">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rPr>
          <w:rFonts w:asciiTheme="minorHAnsi" w:hAnsiTheme="minorHAnsi" w:cstheme="minorHAnsi"/>
          <w:sz w:val="24"/>
          <w:szCs w:val="24"/>
        </w:rPr>
      </w:pPr>
      <w:r w:rsidRPr="00F71F42">
        <w:rPr>
          <w:rFonts w:asciiTheme="minorHAnsi" w:hAnsiTheme="minorHAnsi" w:cstheme="minorHAnsi"/>
          <w:sz w:val="24"/>
          <w:szCs w:val="24"/>
        </w:rPr>
        <w:t>3.2</w:t>
      </w:r>
      <w:r w:rsidRPr="00F71F42">
        <w:rPr>
          <w:rFonts w:asciiTheme="minorHAnsi" w:hAnsiTheme="minorHAnsi" w:cstheme="minorHAnsi"/>
          <w:sz w:val="24"/>
          <w:szCs w:val="24"/>
        </w:rPr>
        <w:tab/>
      </w:r>
      <w:r w:rsidR="00A85683" w:rsidRPr="00F71F42">
        <w:rPr>
          <w:rFonts w:asciiTheme="minorHAnsi" w:hAnsiTheme="minorHAnsi" w:cstheme="minorHAnsi"/>
          <w:sz w:val="24"/>
          <w:szCs w:val="24"/>
        </w:rPr>
        <w:t xml:space="preserve">DPO Australia strongly supports the establishment of an independent national statutory </w:t>
      </w:r>
      <w:r w:rsidR="00FE6914" w:rsidRPr="00F71F42">
        <w:rPr>
          <w:rFonts w:asciiTheme="minorHAnsi" w:hAnsiTheme="minorHAnsi" w:cstheme="minorHAnsi"/>
          <w:sz w:val="24"/>
          <w:szCs w:val="24"/>
        </w:rPr>
        <w:t>mechanism</w:t>
      </w:r>
      <w:r w:rsidR="0038760F" w:rsidRPr="00F71F42">
        <w:rPr>
          <w:rFonts w:asciiTheme="minorHAnsi" w:hAnsiTheme="minorHAnsi" w:cstheme="minorHAnsi"/>
          <w:sz w:val="24"/>
          <w:szCs w:val="24"/>
        </w:rPr>
        <w:t xml:space="preserve"> that has broad powers and functions to protect, prevent and respond to </w:t>
      </w:r>
      <w:r w:rsidR="0038760F" w:rsidRPr="00F71F42">
        <w:rPr>
          <w:rFonts w:asciiTheme="minorHAnsi" w:hAnsiTheme="minorHAnsi" w:cstheme="minorHAnsi"/>
          <w:sz w:val="24"/>
          <w:szCs w:val="24"/>
        </w:rPr>
        <w:lastRenderedPageBreak/>
        <w:t>violence, abuse and neglect experienced by people with disability.</w:t>
      </w:r>
      <w:r w:rsidR="0038760F" w:rsidRPr="00F71F42">
        <w:rPr>
          <w:rStyle w:val="FootnoteReference"/>
          <w:rFonts w:asciiTheme="minorHAnsi" w:hAnsiTheme="minorHAnsi" w:cstheme="minorHAnsi"/>
          <w:sz w:val="24"/>
          <w:szCs w:val="24"/>
        </w:rPr>
        <w:footnoteReference w:id="3"/>
      </w:r>
      <w:r w:rsidR="0038760F" w:rsidRPr="00F71F42">
        <w:rPr>
          <w:rFonts w:asciiTheme="minorHAnsi" w:hAnsiTheme="minorHAnsi" w:cstheme="minorHAnsi"/>
          <w:sz w:val="24"/>
          <w:szCs w:val="24"/>
        </w:rPr>
        <w:t xml:space="preserve">  </w:t>
      </w:r>
      <w:r w:rsidR="006C50A1" w:rsidRPr="00F71F42">
        <w:rPr>
          <w:rFonts w:asciiTheme="minorHAnsi" w:hAnsiTheme="minorHAnsi" w:cstheme="minorHAnsi"/>
          <w:sz w:val="24"/>
          <w:szCs w:val="24"/>
        </w:rPr>
        <w:t xml:space="preserve">This </w:t>
      </w:r>
      <w:r w:rsidR="006502B3">
        <w:rPr>
          <w:rFonts w:asciiTheme="minorHAnsi" w:hAnsiTheme="minorHAnsi" w:cstheme="minorHAnsi"/>
          <w:sz w:val="24"/>
          <w:szCs w:val="24"/>
        </w:rPr>
        <w:t>position</w:t>
      </w:r>
      <w:r w:rsidR="006C50A1" w:rsidRPr="00F71F42">
        <w:rPr>
          <w:rFonts w:asciiTheme="minorHAnsi" w:hAnsiTheme="minorHAnsi" w:cstheme="minorHAnsi"/>
          <w:sz w:val="24"/>
          <w:szCs w:val="24"/>
        </w:rPr>
        <w:t xml:space="preserve"> was reflected in one of the ‘headline’ recommendations from the Senate Community Affairs References Committee Inquiry into violence, abuse and neglect against people with disability in institutional and residential settings.</w:t>
      </w:r>
      <w:r w:rsidR="006C50A1" w:rsidRPr="00F71F42">
        <w:rPr>
          <w:rStyle w:val="FootnoteReference"/>
          <w:rFonts w:asciiTheme="minorHAnsi" w:hAnsiTheme="minorHAnsi" w:cstheme="minorHAnsi"/>
          <w:sz w:val="24"/>
          <w:szCs w:val="24"/>
        </w:rPr>
        <w:footnoteReference w:id="4"/>
      </w:r>
      <w:r w:rsidR="006C50A1" w:rsidRPr="00F71F42">
        <w:rPr>
          <w:rFonts w:asciiTheme="minorHAnsi" w:hAnsiTheme="minorHAnsi" w:cstheme="minorHAnsi"/>
          <w:sz w:val="24"/>
          <w:szCs w:val="24"/>
        </w:rPr>
        <w:t xml:space="preserve">  </w:t>
      </w:r>
    </w:p>
    <w:p w14:paraId="0A8BFC2E" w14:textId="1D5A0602" w:rsidR="00FE6914" w:rsidRPr="00F71F42" w:rsidRDefault="00F71F42" w:rsidP="00FE6914">
      <w:pPr>
        <w:ind w:left="567" w:hanging="567"/>
        <w:rPr>
          <w:rFonts w:asciiTheme="minorHAnsi" w:hAnsiTheme="minorHAnsi" w:cstheme="minorHAnsi"/>
          <w:sz w:val="24"/>
          <w:szCs w:val="24"/>
        </w:rPr>
      </w:pPr>
      <w:r w:rsidRPr="00F71F42">
        <w:rPr>
          <w:rFonts w:asciiTheme="minorHAnsi" w:hAnsiTheme="minorHAnsi" w:cstheme="minorHAnsi"/>
          <w:sz w:val="24"/>
          <w:szCs w:val="24"/>
        </w:rPr>
        <w:t>3.4</w:t>
      </w:r>
      <w:r w:rsidR="00FE6914" w:rsidRPr="00F71F42">
        <w:rPr>
          <w:rFonts w:asciiTheme="minorHAnsi" w:hAnsiTheme="minorHAnsi" w:cstheme="minorHAnsi"/>
          <w:sz w:val="24"/>
          <w:szCs w:val="24"/>
        </w:rPr>
        <w:tab/>
        <w:t xml:space="preserve">In this context, we </w:t>
      </w:r>
      <w:r w:rsidR="00A85683" w:rsidRPr="00F71F42">
        <w:rPr>
          <w:rFonts w:asciiTheme="minorHAnsi" w:hAnsiTheme="minorHAnsi" w:cstheme="minorHAnsi"/>
          <w:sz w:val="24"/>
          <w:szCs w:val="24"/>
        </w:rPr>
        <w:t>welcome the</w:t>
      </w:r>
      <w:r w:rsidR="00FE6914" w:rsidRPr="00F71F42">
        <w:rPr>
          <w:rFonts w:asciiTheme="minorHAnsi" w:hAnsiTheme="minorHAnsi" w:cstheme="minorHAnsi"/>
          <w:sz w:val="24"/>
          <w:szCs w:val="24"/>
        </w:rPr>
        <w:t xml:space="preserve"> establishment of the NDIS Quality and Safeguards Commission </w:t>
      </w:r>
      <w:r w:rsidR="00AE2210">
        <w:rPr>
          <w:rFonts w:asciiTheme="minorHAnsi" w:hAnsiTheme="minorHAnsi" w:cstheme="minorHAnsi"/>
          <w:sz w:val="24"/>
          <w:szCs w:val="24"/>
        </w:rPr>
        <w:t xml:space="preserve">(the NDIS Commission) </w:t>
      </w:r>
      <w:r w:rsidR="00FE6914" w:rsidRPr="00F71F42">
        <w:rPr>
          <w:rFonts w:asciiTheme="minorHAnsi" w:hAnsiTheme="minorHAnsi" w:cstheme="minorHAnsi"/>
          <w:sz w:val="24"/>
          <w:szCs w:val="24"/>
        </w:rPr>
        <w:t xml:space="preserve">that will have powers to register </w:t>
      </w:r>
      <w:r w:rsidR="00C76EE6" w:rsidRPr="00F71F42">
        <w:rPr>
          <w:rFonts w:asciiTheme="minorHAnsi" w:hAnsiTheme="minorHAnsi" w:cstheme="minorHAnsi"/>
          <w:sz w:val="24"/>
          <w:szCs w:val="24"/>
        </w:rPr>
        <w:t xml:space="preserve">and regulate </w:t>
      </w:r>
      <w:r w:rsidR="00FE6914" w:rsidRPr="00F71F42">
        <w:rPr>
          <w:rFonts w:asciiTheme="minorHAnsi" w:hAnsiTheme="minorHAnsi" w:cstheme="minorHAnsi"/>
          <w:sz w:val="24"/>
          <w:szCs w:val="24"/>
        </w:rPr>
        <w:t xml:space="preserve">NDIS providers, </w:t>
      </w:r>
      <w:r w:rsidR="00C76EE6" w:rsidRPr="00F71F42">
        <w:rPr>
          <w:rFonts w:asciiTheme="minorHAnsi" w:hAnsiTheme="minorHAnsi" w:cstheme="minorHAnsi"/>
          <w:sz w:val="24"/>
          <w:szCs w:val="24"/>
        </w:rPr>
        <w:t>respond to complaints</w:t>
      </w:r>
      <w:r w:rsidR="0041763B">
        <w:rPr>
          <w:rFonts w:asciiTheme="minorHAnsi" w:hAnsiTheme="minorHAnsi" w:cstheme="minorHAnsi"/>
          <w:sz w:val="24"/>
          <w:szCs w:val="24"/>
        </w:rPr>
        <w:t>, develop national worker screening standards</w:t>
      </w:r>
      <w:r w:rsidR="00C76EE6" w:rsidRPr="00F71F42">
        <w:rPr>
          <w:rFonts w:asciiTheme="minorHAnsi" w:hAnsiTheme="minorHAnsi" w:cstheme="minorHAnsi"/>
          <w:sz w:val="24"/>
          <w:szCs w:val="24"/>
        </w:rPr>
        <w:t xml:space="preserve"> and oversee behaviour support and the use of restrictive practices.  </w:t>
      </w:r>
      <w:r w:rsidR="00150425">
        <w:rPr>
          <w:rFonts w:asciiTheme="minorHAnsi" w:hAnsiTheme="minorHAnsi" w:cstheme="minorHAnsi"/>
          <w:sz w:val="24"/>
          <w:szCs w:val="24"/>
        </w:rPr>
        <w:t xml:space="preserve">We acknowledge that the Bill provides the NDIS Commission with extensive compliance, enforcement, monitoring and investigation powers in many aspects, and these are critical </w:t>
      </w:r>
      <w:r w:rsidR="00150425" w:rsidRPr="00F71F42">
        <w:rPr>
          <w:rFonts w:asciiTheme="minorHAnsi" w:hAnsiTheme="minorHAnsi" w:cstheme="minorHAnsi"/>
          <w:sz w:val="24"/>
          <w:szCs w:val="24"/>
        </w:rPr>
        <w:t xml:space="preserve">for people with disability to have protections from violence, abuse and neglect when using supports and services under the NDIS.  </w:t>
      </w:r>
      <w:r w:rsidR="00150425">
        <w:rPr>
          <w:rFonts w:asciiTheme="minorHAnsi" w:hAnsiTheme="minorHAnsi" w:cstheme="minorHAnsi"/>
          <w:sz w:val="24"/>
          <w:szCs w:val="24"/>
        </w:rPr>
        <w:t xml:space="preserve">We also note that </w:t>
      </w:r>
      <w:r w:rsidR="00C76EE6" w:rsidRPr="00F71F42">
        <w:rPr>
          <w:rFonts w:asciiTheme="minorHAnsi" w:hAnsiTheme="minorHAnsi" w:cstheme="minorHAnsi"/>
          <w:sz w:val="24"/>
          <w:szCs w:val="24"/>
        </w:rPr>
        <w:t xml:space="preserve">some elements of the </w:t>
      </w:r>
      <w:r w:rsidR="00AE2210">
        <w:rPr>
          <w:rFonts w:asciiTheme="minorHAnsi" w:hAnsiTheme="minorHAnsi" w:cstheme="minorHAnsi"/>
          <w:sz w:val="24"/>
          <w:szCs w:val="24"/>
        </w:rPr>
        <w:t xml:space="preserve">NDIS </w:t>
      </w:r>
      <w:r w:rsidR="00C76EE6" w:rsidRPr="00F71F42">
        <w:rPr>
          <w:rFonts w:asciiTheme="minorHAnsi" w:hAnsiTheme="minorHAnsi" w:cstheme="minorHAnsi"/>
          <w:sz w:val="24"/>
          <w:szCs w:val="24"/>
        </w:rPr>
        <w:t xml:space="preserve">Commission are weaker than others, and </w:t>
      </w:r>
      <w:r w:rsidR="006502B3">
        <w:rPr>
          <w:rFonts w:asciiTheme="minorHAnsi" w:hAnsiTheme="minorHAnsi" w:cstheme="minorHAnsi"/>
          <w:sz w:val="24"/>
          <w:szCs w:val="24"/>
        </w:rPr>
        <w:t>a number of these</w:t>
      </w:r>
      <w:r w:rsidR="00C76EE6" w:rsidRPr="00F71F42">
        <w:rPr>
          <w:rFonts w:asciiTheme="minorHAnsi" w:hAnsiTheme="minorHAnsi" w:cstheme="minorHAnsi"/>
          <w:sz w:val="24"/>
          <w:szCs w:val="24"/>
        </w:rPr>
        <w:t xml:space="preserve"> elements </w:t>
      </w:r>
      <w:r w:rsidR="006502B3">
        <w:rPr>
          <w:rFonts w:asciiTheme="minorHAnsi" w:hAnsiTheme="minorHAnsi" w:cstheme="minorHAnsi"/>
          <w:sz w:val="24"/>
          <w:szCs w:val="24"/>
        </w:rPr>
        <w:t>are</w:t>
      </w:r>
      <w:r w:rsidR="00C76EE6" w:rsidRPr="00F71F42">
        <w:rPr>
          <w:rFonts w:asciiTheme="minorHAnsi" w:hAnsiTheme="minorHAnsi" w:cstheme="minorHAnsi"/>
          <w:sz w:val="24"/>
          <w:szCs w:val="24"/>
        </w:rPr>
        <w:t xml:space="preserve"> </w:t>
      </w:r>
      <w:r w:rsidR="006502B3">
        <w:rPr>
          <w:rFonts w:asciiTheme="minorHAnsi" w:hAnsiTheme="minorHAnsi" w:cstheme="minorHAnsi"/>
          <w:sz w:val="24"/>
          <w:szCs w:val="24"/>
        </w:rPr>
        <w:t xml:space="preserve">discussed </w:t>
      </w:r>
      <w:r w:rsidR="00C76EE6" w:rsidRPr="00F71F42">
        <w:rPr>
          <w:rFonts w:asciiTheme="minorHAnsi" w:hAnsiTheme="minorHAnsi" w:cstheme="minorHAnsi"/>
          <w:sz w:val="24"/>
          <w:szCs w:val="24"/>
        </w:rPr>
        <w:t>within this submission</w:t>
      </w:r>
      <w:r w:rsidR="006502B3">
        <w:rPr>
          <w:rFonts w:asciiTheme="minorHAnsi" w:hAnsiTheme="minorHAnsi" w:cstheme="minorHAnsi"/>
          <w:sz w:val="24"/>
          <w:szCs w:val="24"/>
        </w:rPr>
        <w:t xml:space="preserve">. </w:t>
      </w:r>
      <w:r w:rsidR="00C76EE6" w:rsidRPr="00F71F42">
        <w:rPr>
          <w:rFonts w:asciiTheme="minorHAnsi" w:hAnsiTheme="minorHAnsi" w:cstheme="minorHAnsi"/>
          <w:sz w:val="24"/>
          <w:szCs w:val="24"/>
        </w:rPr>
        <w:t xml:space="preserve"> </w:t>
      </w:r>
    </w:p>
    <w:p w14:paraId="1F821C6B" w14:textId="303FF02E" w:rsidR="00F71F42" w:rsidRDefault="00D85F97" w:rsidP="00697E96">
      <w:pPr>
        <w:ind w:left="567" w:hanging="567"/>
        <w:rPr>
          <w:rFonts w:cs="Calibri"/>
          <w:sz w:val="24"/>
          <w:szCs w:val="24"/>
        </w:rPr>
      </w:pPr>
      <w:r>
        <w:t>3.5</w:t>
      </w:r>
      <w:r w:rsidR="00A85683">
        <w:tab/>
        <w:t xml:space="preserve">However, DPO Australia </w:t>
      </w:r>
      <w:r w:rsidR="00F71F42">
        <w:rPr>
          <w:rFonts w:cs="Calibri"/>
          <w:sz w:val="24"/>
          <w:szCs w:val="24"/>
        </w:rPr>
        <w:t xml:space="preserve">remains disappointed and concerned that the establishment of the NDIS Commission will not provide comprehensive protection against violence, abuse and neglect for </w:t>
      </w:r>
      <w:r w:rsidR="0041325C">
        <w:rPr>
          <w:rFonts w:cs="Calibri"/>
          <w:sz w:val="24"/>
          <w:szCs w:val="24"/>
        </w:rPr>
        <w:t xml:space="preserve">all </w:t>
      </w:r>
      <w:r w:rsidR="00F71F42">
        <w:rPr>
          <w:rFonts w:cs="Calibri"/>
          <w:sz w:val="24"/>
          <w:szCs w:val="24"/>
        </w:rPr>
        <w:t>people with disability</w:t>
      </w:r>
      <w:r w:rsidR="0041325C">
        <w:rPr>
          <w:rFonts w:cs="Calibri"/>
          <w:sz w:val="24"/>
          <w:szCs w:val="24"/>
        </w:rPr>
        <w:t xml:space="preserve"> across a broad range of service systems and situations</w:t>
      </w:r>
      <w:r w:rsidR="00F71F42">
        <w:rPr>
          <w:rFonts w:cs="Calibri"/>
          <w:sz w:val="24"/>
          <w:szCs w:val="24"/>
        </w:rPr>
        <w:t xml:space="preserve">.  We </w:t>
      </w:r>
      <w:r w:rsidR="00A85683">
        <w:t xml:space="preserve">note that </w:t>
      </w:r>
      <w:r w:rsidR="00697E96">
        <w:t xml:space="preserve">our support for an independent, national statutory mechanism and the recommendation from </w:t>
      </w:r>
      <w:r w:rsidR="00A85683">
        <w:t xml:space="preserve">the Senate Community Affairs References Committee </w:t>
      </w:r>
      <w:r w:rsidR="00697E96">
        <w:t xml:space="preserve">was not confined to the NDIS.  DPO Australia has consistently highlighted that the </w:t>
      </w:r>
      <w:r w:rsidR="00697E96">
        <w:rPr>
          <w:rFonts w:cs="Calibri"/>
          <w:sz w:val="24"/>
          <w:szCs w:val="24"/>
        </w:rPr>
        <w:t xml:space="preserve">NDIS Commission will only provide protection to the 10% of people with disability who directly access NDIS supports.  It will not have a mandate to address individual or systemic issues outside of the NDIS.  This means that the majority of people with disability, as well as NDIS participants when interacting with other service systems, will only have protection through existing regulatory </w:t>
      </w:r>
      <w:r>
        <w:rPr>
          <w:rFonts w:cs="Calibri"/>
          <w:sz w:val="24"/>
          <w:szCs w:val="24"/>
        </w:rPr>
        <w:t xml:space="preserve">and policy </w:t>
      </w:r>
      <w:r w:rsidR="00697E96">
        <w:rPr>
          <w:rFonts w:cs="Calibri"/>
          <w:sz w:val="24"/>
          <w:szCs w:val="24"/>
        </w:rPr>
        <w:t>frameworks that have to a large extent been shown to provide inadequate protection.</w:t>
      </w:r>
      <w:r>
        <w:rPr>
          <w:rFonts w:cs="Calibri"/>
          <w:sz w:val="24"/>
          <w:szCs w:val="24"/>
        </w:rPr>
        <w:t xml:space="preserve">  Failures of regulatory and systemic systems have been found in the State based and national inquiries mentioned in 3.1. </w:t>
      </w:r>
    </w:p>
    <w:p w14:paraId="4195FCB4" w14:textId="593916B6" w:rsidR="00C065D2" w:rsidRDefault="00D85F97" w:rsidP="0041763B">
      <w:pPr>
        <w:ind w:left="567" w:hanging="567"/>
        <w:rPr>
          <w:rFonts w:cs="Calibri"/>
          <w:sz w:val="24"/>
          <w:szCs w:val="24"/>
        </w:rPr>
      </w:pPr>
      <w:r>
        <w:rPr>
          <w:rFonts w:cs="Calibri"/>
          <w:sz w:val="24"/>
          <w:szCs w:val="24"/>
        </w:rPr>
        <w:t>3.6</w:t>
      </w:r>
      <w:r w:rsidR="00F71F42">
        <w:rPr>
          <w:rFonts w:cs="Calibri"/>
          <w:sz w:val="24"/>
          <w:szCs w:val="24"/>
        </w:rPr>
        <w:tab/>
      </w:r>
      <w:r w:rsidR="0041763B">
        <w:rPr>
          <w:rFonts w:cs="Calibri"/>
          <w:sz w:val="24"/>
          <w:szCs w:val="24"/>
        </w:rPr>
        <w:t xml:space="preserve">In addition, </w:t>
      </w:r>
      <w:r w:rsidR="00C065D2">
        <w:rPr>
          <w:rFonts w:cs="Calibri"/>
          <w:sz w:val="24"/>
          <w:szCs w:val="24"/>
        </w:rPr>
        <w:t>and in line with the overarching recommendation from the Senate Community Affairs Committee Inquiry,</w:t>
      </w:r>
      <w:r w:rsidR="00C065D2">
        <w:rPr>
          <w:rStyle w:val="FootnoteReference"/>
          <w:rFonts w:cs="Calibri"/>
          <w:sz w:val="24"/>
          <w:szCs w:val="24"/>
        </w:rPr>
        <w:footnoteReference w:id="5"/>
      </w:r>
      <w:r w:rsidR="00C065D2">
        <w:rPr>
          <w:rFonts w:cs="Calibri"/>
          <w:sz w:val="24"/>
          <w:szCs w:val="24"/>
        </w:rPr>
        <w:t xml:space="preserve"> </w:t>
      </w:r>
      <w:r w:rsidR="00D7655A">
        <w:rPr>
          <w:rFonts w:cs="Calibri"/>
          <w:sz w:val="24"/>
          <w:szCs w:val="24"/>
        </w:rPr>
        <w:t xml:space="preserve">DPO Australia along with many other organisations and individuals strongly support </w:t>
      </w:r>
      <w:r w:rsidR="0041763B">
        <w:rPr>
          <w:rFonts w:cs="Calibri"/>
          <w:sz w:val="24"/>
          <w:szCs w:val="24"/>
        </w:rPr>
        <w:t>the establishment of a Royal Commission into violence, abuse and neglect against people with disability.</w:t>
      </w:r>
      <w:r w:rsidR="0041763B">
        <w:rPr>
          <w:rStyle w:val="FootnoteReference"/>
          <w:rFonts w:cs="Calibri"/>
          <w:sz w:val="24"/>
          <w:szCs w:val="24"/>
        </w:rPr>
        <w:footnoteReference w:id="6"/>
      </w:r>
      <w:r w:rsidR="0041763B">
        <w:rPr>
          <w:rFonts w:cs="Calibri"/>
          <w:sz w:val="24"/>
          <w:szCs w:val="24"/>
        </w:rPr>
        <w:t xml:space="preserve">  The establishment of the </w:t>
      </w:r>
      <w:r w:rsidR="00C065D2">
        <w:rPr>
          <w:rFonts w:cs="Calibri"/>
          <w:sz w:val="24"/>
          <w:szCs w:val="24"/>
        </w:rPr>
        <w:t xml:space="preserve">NDIS Commission does not </w:t>
      </w:r>
      <w:r w:rsidR="006558AC">
        <w:rPr>
          <w:rFonts w:cs="Calibri"/>
          <w:sz w:val="24"/>
          <w:szCs w:val="24"/>
        </w:rPr>
        <w:t xml:space="preserve">address the broad concerns raised in the Senate Community Affairs Inquiry nor </w:t>
      </w:r>
      <w:r w:rsidR="00C065D2">
        <w:rPr>
          <w:rFonts w:cs="Calibri"/>
          <w:sz w:val="24"/>
          <w:szCs w:val="24"/>
        </w:rPr>
        <w:t xml:space="preserve">negate </w:t>
      </w:r>
      <w:r w:rsidR="00C065D2">
        <w:rPr>
          <w:rFonts w:cs="Calibri"/>
          <w:sz w:val="24"/>
          <w:szCs w:val="24"/>
        </w:rPr>
        <w:lastRenderedPageBreak/>
        <w:t xml:space="preserve">the need for </w:t>
      </w:r>
      <w:r w:rsidR="006558AC">
        <w:rPr>
          <w:rFonts w:cs="Calibri"/>
          <w:sz w:val="24"/>
          <w:szCs w:val="24"/>
        </w:rPr>
        <w:t xml:space="preserve">a Royal Commission, despite views to the contrary expressed in the Government’s response to </w:t>
      </w:r>
      <w:r>
        <w:rPr>
          <w:rFonts w:cs="Calibri"/>
          <w:sz w:val="24"/>
          <w:szCs w:val="24"/>
        </w:rPr>
        <w:t xml:space="preserve">the Senate </w:t>
      </w:r>
      <w:r w:rsidR="006558AC">
        <w:rPr>
          <w:rFonts w:cs="Calibri"/>
          <w:sz w:val="24"/>
          <w:szCs w:val="24"/>
        </w:rPr>
        <w:t>Inquiry report.</w:t>
      </w:r>
      <w:r w:rsidR="006558AC">
        <w:rPr>
          <w:rStyle w:val="FootnoteReference"/>
          <w:rFonts w:cs="Calibri"/>
          <w:sz w:val="24"/>
          <w:szCs w:val="24"/>
        </w:rPr>
        <w:footnoteReference w:id="7"/>
      </w:r>
    </w:p>
    <w:p w14:paraId="734325A6" w14:textId="462EA7F7" w:rsidR="00E92E18" w:rsidRPr="003F0482" w:rsidRDefault="003F0482" w:rsidP="00AC0EE2">
      <w:pPr>
        <w:spacing w:after="120"/>
        <w:ind w:left="567" w:hanging="567"/>
        <w:rPr>
          <w:rFonts w:cs="Calibri"/>
          <w:b/>
          <w:i/>
          <w:sz w:val="24"/>
          <w:szCs w:val="24"/>
        </w:rPr>
      </w:pPr>
      <w:r w:rsidRPr="003F0482">
        <w:rPr>
          <w:rFonts w:cs="Calibri"/>
          <w:b/>
          <w:i/>
          <w:sz w:val="24"/>
          <w:szCs w:val="24"/>
        </w:rPr>
        <w:t>Recommendations:</w:t>
      </w:r>
    </w:p>
    <w:p w14:paraId="3FB2B74C" w14:textId="426B331B" w:rsidR="003F0482" w:rsidRDefault="003F0482" w:rsidP="00E668B0">
      <w:pPr>
        <w:pStyle w:val="ListParagraph"/>
        <w:numPr>
          <w:ilvl w:val="0"/>
          <w:numId w:val="21"/>
        </w:numPr>
        <w:spacing w:after="120"/>
        <w:ind w:left="714" w:hanging="357"/>
        <w:contextualSpacing w:val="0"/>
        <w:rPr>
          <w:rFonts w:cs="Calibri"/>
          <w:sz w:val="24"/>
          <w:szCs w:val="24"/>
        </w:rPr>
      </w:pPr>
      <w:r w:rsidRPr="00E668B0">
        <w:rPr>
          <w:rFonts w:cs="Calibri"/>
          <w:sz w:val="24"/>
          <w:szCs w:val="24"/>
        </w:rPr>
        <w:t xml:space="preserve">Reviews of legislation that establishes the NDIS Commission should consider the effectiveness of protections for NDIS participants, the gaps in protections </w:t>
      </w:r>
      <w:r w:rsidR="00457064" w:rsidRPr="00E668B0">
        <w:rPr>
          <w:rFonts w:cs="Calibri"/>
          <w:sz w:val="24"/>
          <w:szCs w:val="24"/>
        </w:rPr>
        <w:t>arising from the interface from the NDIS Commission and other mainstream regulatory frameworks, and whether the mandate of the NDIS Commission should be expanded.</w:t>
      </w:r>
    </w:p>
    <w:p w14:paraId="4B7FB41C" w14:textId="5296AF3C" w:rsidR="00457064" w:rsidRPr="00E668B0" w:rsidRDefault="00457064" w:rsidP="00E668B0">
      <w:pPr>
        <w:pStyle w:val="ListParagraph"/>
        <w:numPr>
          <w:ilvl w:val="0"/>
          <w:numId w:val="21"/>
        </w:numPr>
        <w:rPr>
          <w:rFonts w:cs="Calibri"/>
          <w:sz w:val="24"/>
          <w:szCs w:val="24"/>
        </w:rPr>
      </w:pPr>
      <w:r w:rsidRPr="00E668B0">
        <w:rPr>
          <w:rFonts w:cs="Calibri"/>
          <w:sz w:val="24"/>
          <w:szCs w:val="24"/>
        </w:rPr>
        <w:t xml:space="preserve">Establish a Royal Commission into violence, abuse and neglect against people with disability in parallel to the establishment of the NDIS Commission. </w:t>
      </w:r>
    </w:p>
    <w:p w14:paraId="327695DA" w14:textId="77777777" w:rsidR="00457064" w:rsidRPr="003F0482" w:rsidRDefault="00457064" w:rsidP="00457064">
      <w:pPr>
        <w:pStyle w:val="ListParagraph"/>
        <w:ind w:left="567"/>
        <w:rPr>
          <w:rFonts w:cs="Calibri"/>
          <w:sz w:val="24"/>
          <w:szCs w:val="24"/>
        </w:rPr>
      </w:pPr>
    </w:p>
    <w:p w14:paraId="060EB7FE" w14:textId="0EF79396" w:rsidR="00030D04" w:rsidRPr="00E92E18" w:rsidRDefault="00E92E18" w:rsidP="00457064">
      <w:pPr>
        <w:pStyle w:val="Heading2"/>
      </w:pPr>
      <w:bookmarkStart w:id="5" w:name="_Toc489183548"/>
      <w:r w:rsidRPr="00E92E18">
        <w:t>NDIS Rules:</w:t>
      </w:r>
      <w:bookmarkEnd w:id="5"/>
    </w:p>
    <w:p w14:paraId="3C6AE2C5" w14:textId="621A9A74" w:rsidR="009169B7" w:rsidRDefault="00030D04" w:rsidP="00457064">
      <w:pPr>
        <w:pStyle w:val="ListParagraph"/>
        <w:widowControl w:val="0"/>
        <w:numPr>
          <w:ilvl w:val="1"/>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457064">
        <w:rPr>
          <w:rFonts w:cs="Calibri"/>
          <w:sz w:val="24"/>
          <w:szCs w:val="24"/>
        </w:rPr>
        <w:t xml:space="preserve">We note that the Bill provides the </w:t>
      </w:r>
      <w:r w:rsidR="00AE2210" w:rsidRPr="00457064">
        <w:rPr>
          <w:rFonts w:cs="Calibri"/>
          <w:sz w:val="24"/>
          <w:szCs w:val="24"/>
        </w:rPr>
        <w:t>architecture</w:t>
      </w:r>
      <w:r w:rsidRPr="00457064">
        <w:rPr>
          <w:rFonts w:cs="Calibri"/>
          <w:sz w:val="24"/>
          <w:szCs w:val="24"/>
        </w:rPr>
        <w:t xml:space="preserve"> for the </w:t>
      </w:r>
      <w:r w:rsidR="00AE2210" w:rsidRPr="00457064">
        <w:rPr>
          <w:rFonts w:asciiTheme="minorHAnsi" w:hAnsiTheme="minorHAnsi" w:cstheme="minorHAnsi"/>
          <w:sz w:val="24"/>
          <w:szCs w:val="24"/>
        </w:rPr>
        <w:t xml:space="preserve">NDIS Commission, including the role of the NDIS </w:t>
      </w:r>
      <w:r w:rsidR="00565256" w:rsidRPr="00457064">
        <w:rPr>
          <w:rFonts w:cs="Calibri"/>
          <w:sz w:val="24"/>
          <w:szCs w:val="24"/>
        </w:rPr>
        <w:t>Commissioner</w:t>
      </w:r>
      <w:r w:rsidR="00AE2210" w:rsidRPr="00457064">
        <w:rPr>
          <w:rFonts w:cs="Calibri"/>
          <w:sz w:val="24"/>
          <w:szCs w:val="24"/>
        </w:rPr>
        <w:t xml:space="preserve">.  The effectiveness of the NDIS Commission in protecting people with disability from violence, abuse and neglect depends heavily on the NDIS Rules, which will be developed in response to the provisions in the Bill.  </w:t>
      </w:r>
    </w:p>
    <w:p w14:paraId="39D382CA" w14:textId="77777777" w:rsidR="009169B7" w:rsidRDefault="00AE2210" w:rsidP="00457064">
      <w:pPr>
        <w:pStyle w:val="ListParagraph"/>
        <w:widowControl w:val="0"/>
        <w:numPr>
          <w:ilvl w:val="1"/>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457064">
        <w:rPr>
          <w:rFonts w:cs="Calibri"/>
          <w:sz w:val="24"/>
          <w:szCs w:val="24"/>
        </w:rPr>
        <w:t xml:space="preserve">This means that many of the specific elements of implementation of the functions of the NDIS Commission, in line with the objects and principles of the NDIS Act will require strong monitoring and enforcement measures. </w:t>
      </w:r>
      <w:r w:rsidR="009169B7" w:rsidRPr="00457064">
        <w:rPr>
          <w:rFonts w:cs="Calibri"/>
          <w:sz w:val="24"/>
          <w:szCs w:val="24"/>
        </w:rPr>
        <w:t xml:space="preserve"> </w:t>
      </w:r>
    </w:p>
    <w:p w14:paraId="6A4B96CD" w14:textId="75366A87" w:rsidR="009169B7" w:rsidRPr="00457064" w:rsidRDefault="009169B7" w:rsidP="00457064">
      <w:pPr>
        <w:pStyle w:val="ListParagraph"/>
        <w:widowControl w:val="0"/>
        <w:numPr>
          <w:ilvl w:val="1"/>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457064">
        <w:rPr>
          <w:rFonts w:cs="Calibri"/>
          <w:sz w:val="24"/>
          <w:szCs w:val="24"/>
        </w:rPr>
        <w:t xml:space="preserve">Given the importance of the NDIS Rules for effective implementation of the functions of the NDIS Commission, it is critical that the development of the NDIS Rules involves engagement and consultation with people with disability and their representative and advocacy organisations.  Such engagement and consultation reflects the proposed amendments outlined </w:t>
      </w:r>
      <w:r w:rsidR="00957693" w:rsidRPr="00457064">
        <w:rPr>
          <w:rFonts w:cs="Calibri"/>
          <w:sz w:val="24"/>
          <w:szCs w:val="24"/>
        </w:rPr>
        <w:t xml:space="preserve">for section 4(9) </w:t>
      </w:r>
      <w:r w:rsidRPr="00457064">
        <w:rPr>
          <w:rFonts w:cs="Calibri"/>
          <w:sz w:val="24"/>
          <w:szCs w:val="24"/>
        </w:rPr>
        <w:t xml:space="preserve">in Schedule 2 </w:t>
      </w:r>
      <w:r w:rsidR="00957693" w:rsidRPr="00457064">
        <w:rPr>
          <w:rFonts w:cs="Calibri"/>
          <w:sz w:val="24"/>
          <w:szCs w:val="24"/>
        </w:rPr>
        <w:t>of the Bill that</w:t>
      </w:r>
      <w:r w:rsidRPr="00457064">
        <w:rPr>
          <w:rFonts w:cs="Calibri"/>
          <w:sz w:val="24"/>
          <w:szCs w:val="24"/>
        </w:rPr>
        <w:t xml:space="preserve"> emphasise</w:t>
      </w:r>
      <w:r w:rsidR="00957693" w:rsidRPr="00457064">
        <w:rPr>
          <w:rFonts w:cs="Calibri"/>
          <w:sz w:val="24"/>
          <w:szCs w:val="24"/>
        </w:rPr>
        <w:t>s</w:t>
      </w:r>
      <w:r w:rsidRPr="00457064">
        <w:rPr>
          <w:rFonts w:cs="Calibri"/>
          <w:sz w:val="24"/>
          <w:szCs w:val="24"/>
        </w:rPr>
        <w:t xml:space="preserve"> the centrality of people with disability </w:t>
      </w:r>
      <w:r w:rsidR="00957693" w:rsidRPr="00457064">
        <w:rPr>
          <w:rFonts w:cs="Calibri"/>
          <w:sz w:val="24"/>
          <w:szCs w:val="24"/>
        </w:rPr>
        <w:t xml:space="preserve">and the need for their inclusion in a “co-design capacity” </w:t>
      </w:r>
      <w:r w:rsidRPr="00457064">
        <w:rPr>
          <w:rFonts w:cs="Calibri"/>
          <w:sz w:val="24"/>
          <w:szCs w:val="24"/>
        </w:rPr>
        <w:t xml:space="preserve">(discussed below </w:t>
      </w:r>
      <w:r w:rsidR="00457064">
        <w:rPr>
          <w:rFonts w:cs="Calibri"/>
          <w:sz w:val="24"/>
          <w:szCs w:val="24"/>
        </w:rPr>
        <w:t>under Schedule 2).</w:t>
      </w:r>
    </w:p>
    <w:p w14:paraId="49E54322" w14:textId="77777777" w:rsidR="009169B7" w:rsidRPr="00457064" w:rsidRDefault="009169B7" w:rsidP="00AC0EE2">
      <w:pPr>
        <w:spacing w:after="120"/>
        <w:ind w:left="567" w:hanging="567"/>
        <w:rPr>
          <w:rFonts w:cs="Calibri"/>
          <w:b/>
          <w:i/>
          <w:sz w:val="24"/>
          <w:szCs w:val="24"/>
        </w:rPr>
      </w:pPr>
      <w:r w:rsidRPr="00457064">
        <w:rPr>
          <w:rFonts w:cs="Calibri"/>
          <w:b/>
          <w:i/>
          <w:sz w:val="24"/>
          <w:szCs w:val="24"/>
        </w:rPr>
        <w:t>Recommendation:</w:t>
      </w:r>
    </w:p>
    <w:p w14:paraId="4B90FA40" w14:textId="0AECB659" w:rsidR="00E668B0" w:rsidRPr="00E668B0" w:rsidRDefault="009169B7" w:rsidP="00E668B0">
      <w:pPr>
        <w:pStyle w:val="ListParagraph"/>
        <w:widowControl w:val="0"/>
        <w:numPr>
          <w:ilvl w:val="0"/>
          <w:numId w:val="21"/>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rPr>
          <w:rFonts w:cs="Calibri"/>
          <w:sz w:val="24"/>
          <w:szCs w:val="24"/>
        </w:rPr>
      </w:pPr>
      <w:r w:rsidRPr="00E668B0">
        <w:rPr>
          <w:rFonts w:cs="Calibri"/>
          <w:sz w:val="24"/>
          <w:szCs w:val="24"/>
        </w:rPr>
        <w:t>The NDIS Rules should be developed with p</w:t>
      </w:r>
      <w:r w:rsidR="00457064" w:rsidRPr="00E668B0">
        <w:rPr>
          <w:rFonts w:cs="Calibri"/>
          <w:sz w:val="24"/>
          <w:szCs w:val="24"/>
        </w:rPr>
        <w:t>eople with disability and their representative and advocacy organisations in line with the principle that people with disability are central to the NDIS and should be included in a co-design capacity.</w:t>
      </w:r>
    </w:p>
    <w:p w14:paraId="298DFCD2" w14:textId="13DD5214" w:rsidR="009169B7" w:rsidRDefault="0066336E" w:rsidP="0045706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rPr>
          <w:rFonts w:cs="Calibri"/>
          <w:sz w:val="24"/>
          <w:szCs w:val="24"/>
        </w:rPr>
      </w:pPr>
      <w:r>
        <w:rPr>
          <w:rFonts w:cs="Calibri"/>
          <w:sz w:val="24"/>
          <w:szCs w:val="24"/>
        </w:rPr>
        <w:t xml:space="preserve">  </w:t>
      </w:r>
    </w:p>
    <w:p w14:paraId="4ADDC869" w14:textId="77777777" w:rsidR="00E668B0" w:rsidRDefault="00E668B0">
      <w:pPr>
        <w:rPr>
          <w:rFonts w:cs="Calibri"/>
          <w:b/>
          <w:i/>
          <w:sz w:val="24"/>
          <w:szCs w:val="24"/>
        </w:rPr>
      </w:pPr>
      <w:r>
        <w:rPr>
          <w:rFonts w:cs="Calibri"/>
          <w:b/>
          <w:i/>
          <w:sz w:val="24"/>
          <w:szCs w:val="24"/>
        </w:rPr>
        <w:br w:type="page"/>
      </w:r>
    </w:p>
    <w:p w14:paraId="243594D2" w14:textId="27D8FFE5" w:rsidR="009169B7" w:rsidRPr="009A73A9" w:rsidRDefault="009A73A9" w:rsidP="00E668B0">
      <w:pPr>
        <w:pStyle w:val="Heading2"/>
      </w:pPr>
      <w:bookmarkStart w:id="6" w:name="_Toc489183549"/>
      <w:r w:rsidRPr="009A73A9">
        <w:lastRenderedPageBreak/>
        <w:t>Ind</w:t>
      </w:r>
      <w:r>
        <w:t>ependence of the NDIS Commission</w:t>
      </w:r>
      <w:r w:rsidR="00713CD1">
        <w:t>er</w:t>
      </w:r>
      <w:r>
        <w:t>:</w:t>
      </w:r>
      <w:bookmarkEnd w:id="6"/>
    </w:p>
    <w:p w14:paraId="265A7C24" w14:textId="2E6178A9" w:rsidR="00713CD1" w:rsidRDefault="009A73A9" w:rsidP="00EE68F9">
      <w:pPr>
        <w:pStyle w:val="ListParagraph"/>
        <w:widowControl w:val="0"/>
        <w:numPr>
          <w:ilvl w:val="1"/>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C533A1">
        <w:rPr>
          <w:rFonts w:cs="Calibri"/>
          <w:sz w:val="24"/>
          <w:szCs w:val="24"/>
        </w:rPr>
        <w:t xml:space="preserve">There are some provisions in the Bill that allow the Commonwealth Minister, by legislative instrument to </w:t>
      </w:r>
      <w:r w:rsidR="00713CD1" w:rsidRPr="00C533A1">
        <w:rPr>
          <w:rFonts w:cs="Calibri"/>
          <w:sz w:val="24"/>
          <w:szCs w:val="24"/>
        </w:rPr>
        <w:t>direct</w:t>
      </w:r>
      <w:r w:rsidRPr="00C533A1">
        <w:rPr>
          <w:rFonts w:cs="Calibri"/>
          <w:sz w:val="24"/>
          <w:szCs w:val="24"/>
        </w:rPr>
        <w:t xml:space="preserve"> various aspects of </w:t>
      </w:r>
      <w:r w:rsidR="00B0191D" w:rsidRPr="00C533A1">
        <w:rPr>
          <w:rFonts w:cs="Calibri"/>
          <w:sz w:val="24"/>
          <w:szCs w:val="24"/>
        </w:rPr>
        <w:t xml:space="preserve">the functions of the </w:t>
      </w:r>
      <w:r w:rsidRPr="00C533A1">
        <w:rPr>
          <w:rFonts w:cs="Calibri"/>
          <w:sz w:val="24"/>
          <w:szCs w:val="24"/>
        </w:rPr>
        <w:t>NDIS Commission</w:t>
      </w:r>
      <w:r w:rsidR="006766EF" w:rsidRPr="00C533A1">
        <w:rPr>
          <w:rFonts w:cs="Calibri"/>
          <w:sz w:val="24"/>
          <w:szCs w:val="24"/>
        </w:rPr>
        <w:t>er</w:t>
      </w:r>
      <w:r w:rsidRPr="00C533A1">
        <w:rPr>
          <w:rFonts w:cs="Calibri"/>
          <w:sz w:val="24"/>
          <w:szCs w:val="24"/>
        </w:rPr>
        <w:t>.  In particular, section 181K</w:t>
      </w:r>
      <w:r w:rsidR="00B0191D" w:rsidRPr="00C533A1">
        <w:rPr>
          <w:rFonts w:cs="Calibri"/>
          <w:sz w:val="24"/>
          <w:szCs w:val="24"/>
        </w:rPr>
        <w:t>(1)</w:t>
      </w:r>
      <w:r w:rsidRPr="00C533A1">
        <w:rPr>
          <w:rFonts w:cs="Calibri"/>
          <w:sz w:val="24"/>
          <w:szCs w:val="24"/>
        </w:rPr>
        <w:t xml:space="preserve"> of the Bill allows the Commonwealth Minister to “give directions to the </w:t>
      </w:r>
      <w:r w:rsidR="00713CD1" w:rsidRPr="00C533A1">
        <w:rPr>
          <w:rFonts w:cs="Calibri"/>
          <w:sz w:val="24"/>
          <w:szCs w:val="24"/>
        </w:rPr>
        <w:t xml:space="preserve">NDIS </w:t>
      </w:r>
      <w:r w:rsidRPr="00C533A1">
        <w:rPr>
          <w:rFonts w:cs="Calibri"/>
          <w:sz w:val="24"/>
          <w:szCs w:val="24"/>
        </w:rPr>
        <w:t>Commissioner about the performance of his or her functions and the exercise of his or her powers”.</w:t>
      </w:r>
      <w:r>
        <w:rPr>
          <w:rStyle w:val="FootnoteReference"/>
          <w:rFonts w:cs="Calibri"/>
          <w:sz w:val="24"/>
          <w:szCs w:val="24"/>
        </w:rPr>
        <w:footnoteReference w:id="8"/>
      </w:r>
      <w:r w:rsidR="00B0191D" w:rsidRPr="00C533A1">
        <w:rPr>
          <w:rFonts w:cs="Calibri"/>
          <w:sz w:val="24"/>
          <w:szCs w:val="24"/>
        </w:rPr>
        <w:t xml:space="preserve"> </w:t>
      </w:r>
    </w:p>
    <w:p w14:paraId="5AA984D6" w14:textId="77777777" w:rsidR="008E27AF" w:rsidRPr="00C533A1" w:rsidRDefault="00B0191D" w:rsidP="00EE68F9">
      <w:pPr>
        <w:pStyle w:val="ListParagraph"/>
        <w:widowControl w:val="0"/>
        <w:numPr>
          <w:ilvl w:val="1"/>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C533A1">
        <w:rPr>
          <w:sz w:val="24"/>
          <w:szCs w:val="24"/>
        </w:rPr>
        <w:t xml:space="preserve">The Explanatory Memorandum to the Bill </w:t>
      </w:r>
      <w:r w:rsidR="006766EF" w:rsidRPr="00C533A1">
        <w:rPr>
          <w:sz w:val="24"/>
          <w:szCs w:val="24"/>
        </w:rPr>
        <w:t xml:space="preserve">states that this provision </w:t>
      </w:r>
      <w:r w:rsidR="001C002D" w:rsidRPr="00C533A1">
        <w:rPr>
          <w:sz w:val="24"/>
          <w:szCs w:val="24"/>
        </w:rPr>
        <w:t>is “consistent with the establishment of an independent statutory body that is prescribed under the [Public Governance, Performance and Accountability Act 2013]”</w:t>
      </w:r>
      <w:r w:rsidR="006766EF" w:rsidRPr="00C533A1">
        <w:rPr>
          <w:sz w:val="24"/>
          <w:szCs w:val="24"/>
        </w:rPr>
        <w:t>, and that “directions</w:t>
      </w:r>
      <w:r w:rsidR="001C002D" w:rsidRPr="00C533A1">
        <w:rPr>
          <w:sz w:val="24"/>
          <w:szCs w:val="24"/>
        </w:rPr>
        <w:t xml:space="preserve"> </w:t>
      </w:r>
      <w:r w:rsidR="006766EF" w:rsidRPr="00C533A1">
        <w:rPr>
          <w:sz w:val="24"/>
          <w:szCs w:val="24"/>
        </w:rPr>
        <w:t>from the Minister must be of a general nature only”</w:t>
      </w:r>
      <w:r w:rsidR="008E27AF" w:rsidRPr="00C533A1">
        <w:rPr>
          <w:sz w:val="24"/>
          <w:szCs w:val="24"/>
        </w:rPr>
        <w:t>,</w:t>
      </w:r>
      <w:r w:rsidR="006766EF" w:rsidRPr="00C533A1">
        <w:rPr>
          <w:rStyle w:val="FootnoteReference"/>
          <w:rFonts w:asciiTheme="minorHAnsi" w:hAnsiTheme="minorHAnsi" w:cstheme="minorHAnsi"/>
          <w:b/>
          <w:sz w:val="24"/>
          <w:szCs w:val="24"/>
        </w:rPr>
        <w:footnoteReference w:id="9"/>
      </w:r>
      <w:proofErr w:type="gramStart"/>
      <w:r w:rsidR="008E27AF" w:rsidRPr="00C533A1">
        <w:rPr>
          <w:sz w:val="24"/>
          <w:szCs w:val="24"/>
        </w:rPr>
        <w:t xml:space="preserve">  as</w:t>
      </w:r>
      <w:proofErr w:type="gramEnd"/>
      <w:r w:rsidR="008E27AF" w:rsidRPr="00C533A1">
        <w:rPr>
          <w:sz w:val="24"/>
          <w:szCs w:val="24"/>
        </w:rPr>
        <w:t xml:space="preserve"> qualified by </w:t>
      </w:r>
      <w:r w:rsidR="006766EF" w:rsidRPr="00C533A1">
        <w:rPr>
          <w:sz w:val="24"/>
          <w:szCs w:val="24"/>
        </w:rPr>
        <w:t>section 181K(2)</w:t>
      </w:r>
      <w:r w:rsidR="008E27AF" w:rsidRPr="00C533A1">
        <w:rPr>
          <w:sz w:val="24"/>
          <w:szCs w:val="24"/>
        </w:rPr>
        <w:t xml:space="preserve">.  This section </w:t>
      </w:r>
      <w:r w:rsidR="006766EF" w:rsidRPr="00C533A1">
        <w:rPr>
          <w:sz w:val="24"/>
          <w:szCs w:val="24"/>
        </w:rPr>
        <w:t>qualifies that the Minister’s directions cannot relate to specific individuals or particular NDIS providers and must not be inconsistent with the Act</w:t>
      </w:r>
      <w:r w:rsidR="008E27AF" w:rsidRPr="00C533A1">
        <w:rPr>
          <w:sz w:val="24"/>
          <w:szCs w:val="24"/>
        </w:rPr>
        <w:t>.</w:t>
      </w:r>
    </w:p>
    <w:p w14:paraId="5C27052F" w14:textId="77777777" w:rsidR="00C533A1" w:rsidRPr="00C533A1" w:rsidRDefault="008E27AF" w:rsidP="00EE68F9">
      <w:pPr>
        <w:pStyle w:val="ListParagraph"/>
        <w:widowControl w:val="0"/>
        <w:numPr>
          <w:ilvl w:val="1"/>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sidRPr="00C533A1">
        <w:rPr>
          <w:sz w:val="24"/>
          <w:szCs w:val="24"/>
        </w:rPr>
        <w:t>Nevertheless</w:t>
      </w:r>
      <w:r w:rsidR="006766EF" w:rsidRPr="00C533A1">
        <w:rPr>
          <w:sz w:val="24"/>
          <w:szCs w:val="24"/>
        </w:rPr>
        <w:t xml:space="preserve">, DPO Australia is concerned that directions could be imposed by the Commonwealth Minister that have the effect of constraining </w:t>
      </w:r>
      <w:r w:rsidRPr="00C533A1">
        <w:rPr>
          <w:sz w:val="24"/>
          <w:szCs w:val="24"/>
        </w:rPr>
        <w:t>or compromising the independence of</w:t>
      </w:r>
      <w:r w:rsidR="00C533A1">
        <w:rPr>
          <w:sz w:val="24"/>
          <w:szCs w:val="24"/>
        </w:rPr>
        <w:t xml:space="preserve"> the NDIS Commissioner, for example, in investigating systemic issues arising from complaints.  </w:t>
      </w:r>
    </w:p>
    <w:p w14:paraId="6F286254" w14:textId="7EBF69F7" w:rsidR="00C533A1" w:rsidRPr="00C533A1" w:rsidRDefault="00C533A1" w:rsidP="00EE68F9">
      <w:pPr>
        <w:pStyle w:val="ListParagraph"/>
        <w:widowControl w:val="0"/>
        <w:numPr>
          <w:ilvl w:val="1"/>
          <w:numId w:val="2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cs="Calibri"/>
          <w:sz w:val="24"/>
          <w:szCs w:val="24"/>
        </w:rPr>
      </w:pPr>
      <w:r>
        <w:rPr>
          <w:sz w:val="24"/>
          <w:szCs w:val="24"/>
        </w:rPr>
        <w:t>The NDIS is a national scheme requiring cooperation and agreement be</w:t>
      </w:r>
      <w:r w:rsidR="00231D18">
        <w:rPr>
          <w:sz w:val="24"/>
          <w:szCs w:val="24"/>
        </w:rPr>
        <w:t xml:space="preserve">tween all levels of government, </w:t>
      </w:r>
      <w:r>
        <w:rPr>
          <w:sz w:val="24"/>
          <w:szCs w:val="24"/>
        </w:rPr>
        <w:t xml:space="preserve">and this provision appears to give the Commonwealth greater discretionary powers. </w:t>
      </w:r>
    </w:p>
    <w:p w14:paraId="0E89D800" w14:textId="77777777" w:rsidR="00872A9D" w:rsidRPr="00AC0EE2" w:rsidRDefault="00872A9D" w:rsidP="00AC0EE2">
      <w:pPr>
        <w:spacing w:after="120"/>
        <w:ind w:left="567" w:hanging="567"/>
        <w:rPr>
          <w:rFonts w:cs="Calibri"/>
          <w:b/>
          <w:i/>
          <w:sz w:val="24"/>
          <w:szCs w:val="24"/>
        </w:rPr>
      </w:pPr>
      <w:r w:rsidRPr="00AC0EE2">
        <w:rPr>
          <w:rFonts w:cs="Calibri"/>
          <w:b/>
          <w:i/>
          <w:sz w:val="24"/>
          <w:szCs w:val="24"/>
        </w:rPr>
        <w:t xml:space="preserve">Recommendation: </w:t>
      </w:r>
    </w:p>
    <w:p w14:paraId="79A44BA4" w14:textId="6DA9403D" w:rsidR="00872A9D" w:rsidRDefault="00872A9D" w:rsidP="00872A9D">
      <w:pPr>
        <w:pStyle w:val="ListParagraph"/>
        <w:numPr>
          <w:ilvl w:val="0"/>
          <w:numId w:val="21"/>
        </w:numPr>
        <w:rPr>
          <w:sz w:val="24"/>
          <w:szCs w:val="24"/>
        </w:rPr>
      </w:pPr>
      <w:r>
        <w:rPr>
          <w:sz w:val="24"/>
          <w:szCs w:val="24"/>
        </w:rPr>
        <w:t>Proposed section 181K(1) should be limited by a provision that ensures that States and Territories are consulted</w:t>
      </w:r>
      <w:r w:rsidR="009A5E54">
        <w:rPr>
          <w:sz w:val="24"/>
          <w:szCs w:val="24"/>
        </w:rPr>
        <w:t xml:space="preserve"> about</w:t>
      </w:r>
      <w:r>
        <w:rPr>
          <w:sz w:val="24"/>
          <w:szCs w:val="24"/>
        </w:rPr>
        <w:t>, and provide agreement for directions proposed by the Commonwealth Minister for the NDIS Commissioner</w:t>
      </w:r>
      <w:r w:rsidR="009A5E54">
        <w:rPr>
          <w:sz w:val="24"/>
          <w:szCs w:val="24"/>
        </w:rPr>
        <w:t>.</w:t>
      </w:r>
    </w:p>
    <w:p w14:paraId="7FB4622C" w14:textId="77777777" w:rsidR="00872A9D" w:rsidRDefault="00872A9D" w:rsidP="00872A9D">
      <w:pPr>
        <w:pStyle w:val="ListParagraph"/>
        <w:rPr>
          <w:sz w:val="24"/>
          <w:szCs w:val="24"/>
        </w:rPr>
      </w:pPr>
    </w:p>
    <w:p w14:paraId="59E96179" w14:textId="5A906243" w:rsidR="00433BE0" w:rsidRPr="00B94EE9" w:rsidRDefault="00B94EE9" w:rsidP="00D563EE">
      <w:pPr>
        <w:pStyle w:val="Heading2"/>
      </w:pPr>
      <w:bookmarkStart w:id="7" w:name="_Toc489183550"/>
      <w:r w:rsidRPr="00B94EE9">
        <w:t>National policy oversight of r</w:t>
      </w:r>
      <w:r w:rsidR="00332C68" w:rsidRPr="00B94EE9">
        <w:t>estrictive practices</w:t>
      </w:r>
      <w:r w:rsidR="00EE68F9">
        <w:t>:</w:t>
      </w:r>
      <w:bookmarkEnd w:id="7"/>
    </w:p>
    <w:p w14:paraId="78533E78" w14:textId="6D526EFB" w:rsidR="00DE0E09" w:rsidRDefault="001C20A5" w:rsidP="00EE68F9">
      <w:pPr>
        <w:pStyle w:val="ListParagraph"/>
        <w:widowControl w:val="0"/>
        <w:numPr>
          <w:ilvl w:val="1"/>
          <w:numId w:val="2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asciiTheme="minorHAnsi" w:hAnsiTheme="minorHAnsi" w:cstheme="minorHAnsi"/>
          <w:sz w:val="24"/>
          <w:szCs w:val="24"/>
        </w:rPr>
      </w:pPr>
      <w:r w:rsidRPr="00872A9D">
        <w:rPr>
          <w:rFonts w:asciiTheme="minorHAnsi" w:hAnsiTheme="minorHAnsi" w:cstheme="minorHAnsi"/>
          <w:sz w:val="24"/>
          <w:szCs w:val="24"/>
        </w:rPr>
        <w:t>T</w:t>
      </w:r>
      <w:r w:rsidR="001D0F09" w:rsidRPr="00872A9D">
        <w:rPr>
          <w:rFonts w:asciiTheme="minorHAnsi" w:hAnsiTheme="minorHAnsi" w:cstheme="minorHAnsi"/>
          <w:sz w:val="24"/>
          <w:szCs w:val="24"/>
        </w:rPr>
        <w:t>he NDIS Commissioner’s behaviour support function</w:t>
      </w:r>
      <w:r w:rsidRPr="00872A9D">
        <w:rPr>
          <w:rFonts w:asciiTheme="minorHAnsi" w:hAnsiTheme="minorHAnsi" w:cstheme="minorHAnsi"/>
          <w:sz w:val="24"/>
          <w:szCs w:val="24"/>
        </w:rPr>
        <w:t>, outlined in section 181H of the Bill,</w:t>
      </w:r>
      <w:r w:rsidR="001D0F09" w:rsidRPr="00872A9D">
        <w:rPr>
          <w:rFonts w:asciiTheme="minorHAnsi" w:hAnsiTheme="minorHAnsi" w:cstheme="minorHAnsi"/>
          <w:sz w:val="24"/>
          <w:szCs w:val="24"/>
        </w:rPr>
        <w:t xml:space="preserve"> is based on policy oversight and guidance to NDIS providers, which will be led by a national Senior Practitioner</w:t>
      </w:r>
      <w:r w:rsidR="00DE0E09" w:rsidRPr="00872A9D">
        <w:rPr>
          <w:rFonts w:asciiTheme="minorHAnsi" w:hAnsiTheme="minorHAnsi" w:cstheme="minorHAnsi"/>
          <w:sz w:val="24"/>
          <w:szCs w:val="24"/>
        </w:rPr>
        <w:t xml:space="preserve"> and underpinned by the </w:t>
      </w:r>
      <w:r w:rsidR="00DE0E09" w:rsidRPr="00EE68F9">
        <w:rPr>
          <w:rFonts w:asciiTheme="minorHAnsi" w:hAnsiTheme="minorHAnsi" w:cstheme="minorHAnsi"/>
          <w:i/>
          <w:sz w:val="24"/>
          <w:szCs w:val="24"/>
        </w:rPr>
        <w:t>National Framework for Reducing and Eliminating the Use of Restrictive Practices in the disability Service Sector</w:t>
      </w:r>
      <w:r w:rsidR="00DE0E09" w:rsidRPr="00872A9D">
        <w:rPr>
          <w:rFonts w:asciiTheme="minorHAnsi" w:hAnsiTheme="minorHAnsi" w:cstheme="minorHAnsi"/>
          <w:sz w:val="24"/>
          <w:szCs w:val="24"/>
        </w:rPr>
        <w:t xml:space="preserve"> (the National Framework)</w:t>
      </w:r>
      <w:r w:rsidR="001D0F09" w:rsidRPr="00872A9D">
        <w:rPr>
          <w:rFonts w:asciiTheme="minorHAnsi" w:hAnsiTheme="minorHAnsi" w:cstheme="minorHAnsi"/>
          <w:sz w:val="24"/>
          <w:szCs w:val="24"/>
        </w:rPr>
        <w:t xml:space="preserve">.  </w:t>
      </w:r>
    </w:p>
    <w:p w14:paraId="708F260E" w14:textId="66A4072F" w:rsidR="00BD2AC8" w:rsidRDefault="001D0F09" w:rsidP="00EE68F9">
      <w:pPr>
        <w:pStyle w:val="ListParagraph"/>
        <w:widowControl w:val="0"/>
        <w:numPr>
          <w:ilvl w:val="1"/>
          <w:numId w:val="2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asciiTheme="minorHAnsi" w:hAnsiTheme="minorHAnsi" w:cstheme="minorHAnsi"/>
          <w:sz w:val="24"/>
          <w:szCs w:val="24"/>
        </w:rPr>
      </w:pPr>
      <w:r w:rsidRPr="00EE68F9">
        <w:rPr>
          <w:rFonts w:asciiTheme="minorHAnsi" w:hAnsiTheme="minorHAnsi" w:cstheme="minorHAnsi"/>
          <w:sz w:val="24"/>
          <w:szCs w:val="24"/>
        </w:rPr>
        <w:t>The Senior Practitioner will provide “leadership in behaviour support, and in the reduction and elimination of the use of restrictive practices, by NDIS providers”</w:t>
      </w:r>
      <w:r w:rsidR="001C20A5" w:rsidRPr="00EE68F9">
        <w:rPr>
          <w:rStyle w:val="FootnoteReference"/>
          <w:rFonts w:asciiTheme="minorHAnsi" w:hAnsiTheme="minorHAnsi" w:cstheme="minorHAnsi"/>
          <w:sz w:val="24"/>
          <w:szCs w:val="24"/>
        </w:rPr>
        <w:footnoteReference w:id="10"/>
      </w:r>
      <w:proofErr w:type="gramStart"/>
      <w:r w:rsidRPr="00EE68F9">
        <w:rPr>
          <w:rFonts w:asciiTheme="minorHAnsi" w:hAnsiTheme="minorHAnsi" w:cstheme="minorHAnsi"/>
          <w:sz w:val="24"/>
          <w:szCs w:val="24"/>
        </w:rPr>
        <w:t xml:space="preserve">  by</w:t>
      </w:r>
      <w:proofErr w:type="gramEnd"/>
      <w:r w:rsidRPr="00EE68F9">
        <w:rPr>
          <w:rFonts w:asciiTheme="minorHAnsi" w:hAnsiTheme="minorHAnsi" w:cstheme="minorHAnsi"/>
          <w:sz w:val="24"/>
          <w:szCs w:val="24"/>
        </w:rPr>
        <w:t xml:space="preserve"> building capability, assess</w:t>
      </w:r>
      <w:r w:rsidR="00CD4D69" w:rsidRPr="00EE68F9">
        <w:rPr>
          <w:rFonts w:asciiTheme="minorHAnsi" w:hAnsiTheme="minorHAnsi" w:cstheme="minorHAnsi"/>
          <w:sz w:val="24"/>
          <w:szCs w:val="24"/>
        </w:rPr>
        <w:t>ing</w:t>
      </w:r>
      <w:r w:rsidRPr="00EE68F9">
        <w:rPr>
          <w:rFonts w:asciiTheme="minorHAnsi" w:hAnsiTheme="minorHAnsi" w:cstheme="minorHAnsi"/>
          <w:sz w:val="24"/>
          <w:szCs w:val="24"/>
        </w:rPr>
        <w:t xml:space="preserve"> skills and experience, providing education, training and advice, </w:t>
      </w:r>
      <w:r w:rsidRPr="00EE68F9">
        <w:rPr>
          <w:rFonts w:asciiTheme="minorHAnsi" w:hAnsiTheme="minorHAnsi" w:cstheme="minorHAnsi"/>
          <w:sz w:val="24"/>
          <w:szCs w:val="24"/>
        </w:rPr>
        <w:lastRenderedPageBreak/>
        <w:t xml:space="preserve">monitoring registration </w:t>
      </w:r>
      <w:r w:rsidR="001C20A5" w:rsidRPr="00EE68F9">
        <w:rPr>
          <w:rFonts w:asciiTheme="minorHAnsi" w:hAnsiTheme="minorHAnsi" w:cstheme="minorHAnsi"/>
          <w:sz w:val="24"/>
          <w:szCs w:val="24"/>
        </w:rPr>
        <w:t>compliance, undertaking data collection and analysis and undertaking research.</w:t>
      </w:r>
      <w:r w:rsidR="001C20A5" w:rsidRPr="00EE68F9">
        <w:rPr>
          <w:rStyle w:val="FootnoteReference"/>
          <w:rFonts w:asciiTheme="minorHAnsi" w:hAnsiTheme="minorHAnsi" w:cstheme="minorHAnsi"/>
          <w:sz w:val="24"/>
          <w:szCs w:val="24"/>
        </w:rPr>
        <w:footnoteReference w:id="11"/>
      </w:r>
      <w:r w:rsidRPr="00EE68F9">
        <w:rPr>
          <w:rFonts w:asciiTheme="minorHAnsi" w:hAnsiTheme="minorHAnsi" w:cstheme="minorHAnsi"/>
          <w:sz w:val="24"/>
          <w:szCs w:val="24"/>
        </w:rPr>
        <w:t xml:space="preserve"> </w:t>
      </w:r>
      <w:r w:rsidR="00735D7C" w:rsidRPr="00EE68F9">
        <w:rPr>
          <w:rFonts w:asciiTheme="minorHAnsi" w:hAnsiTheme="minorHAnsi" w:cstheme="minorHAnsi"/>
          <w:sz w:val="24"/>
          <w:szCs w:val="24"/>
        </w:rPr>
        <w:t xml:space="preserve">State and Territories will continue to authorise restrictive practices within behaviour support plans using the legislative and policy processes within each jurisdiction. </w:t>
      </w:r>
    </w:p>
    <w:p w14:paraId="27301B71" w14:textId="77777777" w:rsidR="00DE0E09" w:rsidRDefault="001C20A5" w:rsidP="00EE68F9">
      <w:pPr>
        <w:pStyle w:val="ListParagraph"/>
        <w:widowControl w:val="0"/>
        <w:numPr>
          <w:ilvl w:val="1"/>
          <w:numId w:val="2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asciiTheme="minorHAnsi" w:hAnsiTheme="minorHAnsi" w:cstheme="minorHAnsi"/>
          <w:sz w:val="24"/>
          <w:szCs w:val="24"/>
        </w:rPr>
      </w:pPr>
      <w:r w:rsidRPr="00EE68F9">
        <w:rPr>
          <w:rFonts w:asciiTheme="minorHAnsi" w:hAnsiTheme="minorHAnsi" w:cstheme="minorHAnsi"/>
          <w:sz w:val="24"/>
          <w:szCs w:val="24"/>
        </w:rPr>
        <w:t xml:space="preserve">DPO Australia </w:t>
      </w:r>
      <w:r w:rsidR="00735D7C" w:rsidRPr="00EE68F9">
        <w:rPr>
          <w:rFonts w:asciiTheme="minorHAnsi" w:hAnsiTheme="minorHAnsi" w:cstheme="minorHAnsi"/>
          <w:sz w:val="24"/>
          <w:szCs w:val="24"/>
        </w:rPr>
        <w:t xml:space="preserve">is </w:t>
      </w:r>
      <w:r w:rsidR="00B71CFD" w:rsidRPr="00EE68F9">
        <w:rPr>
          <w:rFonts w:asciiTheme="minorHAnsi" w:hAnsiTheme="minorHAnsi" w:cstheme="minorHAnsi"/>
          <w:sz w:val="24"/>
          <w:szCs w:val="24"/>
        </w:rPr>
        <w:t xml:space="preserve">very </w:t>
      </w:r>
      <w:r w:rsidR="00735D7C" w:rsidRPr="00EE68F9">
        <w:rPr>
          <w:rFonts w:asciiTheme="minorHAnsi" w:hAnsiTheme="minorHAnsi" w:cstheme="minorHAnsi"/>
          <w:sz w:val="24"/>
          <w:szCs w:val="24"/>
        </w:rPr>
        <w:t>concerned that this oversight function for the NDIS Commissioner is very weak given th</w:t>
      </w:r>
      <w:r w:rsidR="00DE3E89" w:rsidRPr="00EE68F9">
        <w:rPr>
          <w:rFonts w:asciiTheme="minorHAnsi" w:hAnsiTheme="minorHAnsi" w:cstheme="minorHAnsi"/>
          <w:sz w:val="24"/>
          <w:szCs w:val="24"/>
        </w:rPr>
        <w:t>at restrictive practices cause significant breaches of human rights</w:t>
      </w:r>
      <w:r w:rsidR="00B71CFD" w:rsidRPr="00EE68F9">
        <w:rPr>
          <w:rFonts w:asciiTheme="minorHAnsi" w:hAnsiTheme="minorHAnsi" w:cstheme="minorHAnsi"/>
          <w:sz w:val="24"/>
          <w:szCs w:val="24"/>
        </w:rPr>
        <w:t>, and can constitute torture, cruel, inhuman or degrading treatment or punishment.</w:t>
      </w:r>
      <w:r w:rsidR="00056A0C" w:rsidRPr="00EE68F9">
        <w:rPr>
          <w:rStyle w:val="FootnoteReference"/>
          <w:rFonts w:asciiTheme="minorHAnsi" w:hAnsiTheme="minorHAnsi" w:cstheme="minorHAnsi"/>
          <w:sz w:val="24"/>
          <w:szCs w:val="24"/>
        </w:rPr>
        <w:footnoteReference w:id="12"/>
      </w:r>
      <w:r w:rsidR="00056A0C" w:rsidRPr="00EE68F9">
        <w:rPr>
          <w:rFonts w:asciiTheme="minorHAnsi" w:hAnsiTheme="minorHAnsi" w:cstheme="minorHAnsi"/>
          <w:sz w:val="24"/>
          <w:szCs w:val="24"/>
        </w:rPr>
        <w:t xml:space="preserve"> There is a strong relationship between the use of restrictive practices and other forms of violence, abuse and neglect against people with disability, which undermines the ability of people with disability and support workers to recognise violence and respond to it as a crime.</w:t>
      </w:r>
      <w:r w:rsidR="00056A0C" w:rsidRPr="00EE68F9">
        <w:rPr>
          <w:rStyle w:val="FootnoteReference"/>
          <w:rFonts w:asciiTheme="minorHAnsi" w:hAnsiTheme="minorHAnsi" w:cstheme="minorHAnsi"/>
          <w:sz w:val="24"/>
          <w:szCs w:val="24"/>
        </w:rPr>
        <w:footnoteReference w:id="13"/>
      </w:r>
      <w:r w:rsidR="00056A0C" w:rsidRPr="00EE68F9">
        <w:rPr>
          <w:rFonts w:asciiTheme="minorHAnsi" w:hAnsiTheme="minorHAnsi" w:cstheme="minorHAnsi"/>
          <w:sz w:val="24"/>
          <w:szCs w:val="24"/>
        </w:rPr>
        <w:t xml:space="preserve"> </w:t>
      </w:r>
    </w:p>
    <w:p w14:paraId="0568BAE3" w14:textId="0DDB460A" w:rsidR="0040064D" w:rsidRDefault="00BD2AC8" w:rsidP="00EE68F9">
      <w:pPr>
        <w:pStyle w:val="ListParagraph"/>
        <w:widowControl w:val="0"/>
        <w:numPr>
          <w:ilvl w:val="1"/>
          <w:numId w:val="2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asciiTheme="minorHAnsi" w:hAnsiTheme="minorHAnsi" w:cstheme="minorHAnsi"/>
          <w:sz w:val="24"/>
          <w:szCs w:val="24"/>
        </w:rPr>
      </w:pPr>
      <w:r w:rsidRPr="005F1C1A">
        <w:rPr>
          <w:rFonts w:asciiTheme="minorHAnsi" w:hAnsiTheme="minorHAnsi" w:cstheme="minorHAnsi"/>
          <w:sz w:val="24"/>
          <w:szCs w:val="24"/>
        </w:rPr>
        <w:t>The Explanatory Memorandum to the Bill states that these arrangements respond to obligations under the CRP</w:t>
      </w:r>
      <w:r w:rsidR="00BF0CED">
        <w:rPr>
          <w:rFonts w:asciiTheme="minorHAnsi" w:hAnsiTheme="minorHAnsi" w:cstheme="minorHAnsi"/>
          <w:sz w:val="24"/>
          <w:szCs w:val="24"/>
        </w:rPr>
        <w:t>D</w:t>
      </w:r>
      <w:r w:rsidR="005F1C1A">
        <w:rPr>
          <w:rStyle w:val="FootnoteReference"/>
          <w:rFonts w:asciiTheme="minorHAnsi" w:hAnsiTheme="minorHAnsi" w:cstheme="minorHAnsi"/>
          <w:sz w:val="24"/>
          <w:szCs w:val="24"/>
        </w:rPr>
        <w:footnoteReference w:id="14"/>
      </w:r>
      <w:r w:rsidRPr="005F1C1A">
        <w:rPr>
          <w:rFonts w:asciiTheme="minorHAnsi" w:hAnsiTheme="minorHAnsi" w:cstheme="minorHAnsi"/>
          <w:sz w:val="24"/>
          <w:szCs w:val="24"/>
        </w:rPr>
        <w:t xml:space="preserve"> and to the recommendation from the Committee on the Rights of Persons with Disabilities </w:t>
      </w:r>
      <w:r w:rsidR="00FA1186" w:rsidRPr="005F1C1A">
        <w:rPr>
          <w:rFonts w:asciiTheme="minorHAnsi" w:hAnsiTheme="minorHAnsi" w:cstheme="minorHAnsi"/>
          <w:sz w:val="24"/>
          <w:szCs w:val="24"/>
        </w:rPr>
        <w:t>“to take immediate steps to end such practices”.</w:t>
      </w:r>
      <w:r w:rsidR="005F1C1A">
        <w:rPr>
          <w:rStyle w:val="FootnoteReference"/>
          <w:rFonts w:asciiTheme="minorHAnsi" w:hAnsiTheme="minorHAnsi" w:cstheme="minorHAnsi"/>
          <w:sz w:val="24"/>
          <w:szCs w:val="24"/>
        </w:rPr>
        <w:footnoteReference w:id="15"/>
      </w:r>
      <w:r w:rsidR="005F1C1A" w:rsidRPr="005F1C1A">
        <w:rPr>
          <w:rFonts w:asciiTheme="minorHAnsi" w:hAnsiTheme="minorHAnsi" w:cstheme="minorHAnsi"/>
          <w:sz w:val="24"/>
          <w:szCs w:val="24"/>
        </w:rPr>
        <w:t xml:space="preserve">  </w:t>
      </w:r>
      <w:r w:rsidR="00FA1186" w:rsidRPr="005F1C1A">
        <w:rPr>
          <w:rFonts w:asciiTheme="minorHAnsi" w:hAnsiTheme="minorHAnsi" w:cstheme="minorHAnsi"/>
          <w:sz w:val="24"/>
          <w:szCs w:val="24"/>
        </w:rPr>
        <w:t>However, DPO Austra</w:t>
      </w:r>
      <w:r w:rsidR="005F1C1A" w:rsidRPr="005F1C1A">
        <w:rPr>
          <w:rFonts w:asciiTheme="minorHAnsi" w:hAnsiTheme="minorHAnsi" w:cstheme="minorHAnsi"/>
          <w:sz w:val="24"/>
          <w:szCs w:val="24"/>
        </w:rPr>
        <w:t xml:space="preserve">lia argues that </w:t>
      </w:r>
      <w:r w:rsidR="00DE0E09" w:rsidRPr="005F1C1A">
        <w:rPr>
          <w:rFonts w:asciiTheme="minorHAnsi" w:hAnsiTheme="minorHAnsi" w:cstheme="minorHAnsi"/>
          <w:sz w:val="24"/>
          <w:szCs w:val="24"/>
        </w:rPr>
        <w:t xml:space="preserve">the NDIS Commissioner should have the strongest powers possible with regard to the elimination of restrictive practices.  This includes legislative powers to </w:t>
      </w:r>
      <w:r w:rsidR="00CD4D69" w:rsidRPr="005F1C1A">
        <w:rPr>
          <w:rFonts w:asciiTheme="minorHAnsi" w:hAnsiTheme="minorHAnsi" w:cstheme="minorHAnsi"/>
          <w:sz w:val="24"/>
          <w:szCs w:val="24"/>
        </w:rPr>
        <w:t>prohibit certain restrictive practices and impose criminal penalties.</w:t>
      </w:r>
      <w:r w:rsidR="00CD4D69" w:rsidRPr="00EE68F9">
        <w:rPr>
          <w:rStyle w:val="FootnoteReference"/>
          <w:rFonts w:asciiTheme="minorHAnsi" w:hAnsiTheme="minorHAnsi" w:cstheme="minorHAnsi"/>
          <w:sz w:val="24"/>
          <w:szCs w:val="24"/>
        </w:rPr>
        <w:footnoteReference w:id="16"/>
      </w:r>
      <w:r w:rsidR="00CD4D69" w:rsidRPr="005F1C1A">
        <w:rPr>
          <w:rFonts w:asciiTheme="minorHAnsi" w:hAnsiTheme="minorHAnsi" w:cstheme="minorHAnsi"/>
          <w:sz w:val="24"/>
          <w:szCs w:val="24"/>
        </w:rPr>
        <w:t xml:space="preserve"> </w:t>
      </w:r>
    </w:p>
    <w:p w14:paraId="3F6B3318" w14:textId="577762D8" w:rsidR="005047B1" w:rsidRDefault="00B7361B" w:rsidP="00EE68F9">
      <w:pPr>
        <w:pStyle w:val="ListParagraph"/>
        <w:widowControl w:val="0"/>
        <w:numPr>
          <w:ilvl w:val="1"/>
          <w:numId w:val="2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asciiTheme="minorHAnsi" w:hAnsiTheme="minorHAnsi" w:cstheme="minorHAnsi"/>
          <w:sz w:val="24"/>
          <w:szCs w:val="24"/>
        </w:rPr>
      </w:pPr>
      <w:r w:rsidRPr="0040064D">
        <w:rPr>
          <w:rFonts w:asciiTheme="minorHAnsi" w:hAnsiTheme="minorHAnsi" w:cstheme="minorHAnsi"/>
          <w:sz w:val="24"/>
          <w:szCs w:val="24"/>
        </w:rPr>
        <w:t xml:space="preserve">In addition, </w:t>
      </w:r>
      <w:r w:rsidR="00FA1186" w:rsidRPr="0040064D">
        <w:rPr>
          <w:rFonts w:asciiTheme="minorHAnsi" w:hAnsiTheme="minorHAnsi" w:cstheme="minorHAnsi"/>
          <w:sz w:val="24"/>
          <w:szCs w:val="24"/>
        </w:rPr>
        <w:t xml:space="preserve">if authorisation of behaviour support plans is to be conducted at the State and Territory level, then </w:t>
      </w:r>
      <w:r w:rsidRPr="0040064D">
        <w:rPr>
          <w:rFonts w:asciiTheme="minorHAnsi" w:hAnsiTheme="minorHAnsi" w:cstheme="minorHAnsi"/>
          <w:sz w:val="24"/>
          <w:szCs w:val="24"/>
        </w:rPr>
        <w:t xml:space="preserve">there needs to be agreement at the State and Territory level for nationally consistent regulatory mechanisms for authorisation of behaviour support plans.  The current mechanisms at State and Territory level are </w:t>
      </w:r>
      <w:r w:rsidR="005047B1" w:rsidRPr="0040064D">
        <w:rPr>
          <w:rFonts w:asciiTheme="minorHAnsi" w:hAnsiTheme="minorHAnsi" w:cstheme="minorHAnsi"/>
          <w:sz w:val="24"/>
          <w:szCs w:val="24"/>
        </w:rPr>
        <w:t xml:space="preserve">varied and </w:t>
      </w:r>
      <w:r w:rsidRPr="0040064D">
        <w:rPr>
          <w:rFonts w:asciiTheme="minorHAnsi" w:hAnsiTheme="minorHAnsi" w:cstheme="minorHAnsi"/>
          <w:sz w:val="24"/>
          <w:szCs w:val="24"/>
        </w:rPr>
        <w:t>inconsis</w:t>
      </w:r>
      <w:r w:rsidR="005047B1" w:rsidRPr="0040064D">
        <w:rPr>
          <w:rFonts w:asciiTheme="minorHAnsi" w:hAnsiTheme="minorHAnsi" w:cstheme="minorHAnsi"/>
          <w:sz w:val="24"/>
          <w:szCs w:val="24"/>
        </w:rPr>
        <w:t xml:space="preserve">tent, with some consisting of relatively weak </w:t>
      </w:r>
      <w:r w:rsidRPr="0040064D">
        <w:rPr>
          <w:rFonts w:asciiTheme="minorHAnsi" w:hAnsiTheme="minorHAnsi" w:cstheme="minorHAnsi"/>
          <w:sz w:val="24"/>
          <w:szCs w:val="24"/>
        </w:rPr>
        <w:t>policy function</w:t>
      </w:r>
      <w:r w:rsidR="005047B1" w:rsidRPr="0040064D">
        <w:rPr>
          <w:rFonts w:asciiTheme="minorHAnsi" w:hAnsiTheme="minorHAnsi" w:cstheme="minorHAnsi"/>
          <w:sz w:val="24"/>
          <w:szCs w:val="24"/>
        </w:rPr>
        <w:t xml:space="preserve">s within </w:t>
      </w:r>
      <w:r w:rsidRPr="0040064D">
        <w:rPr>
          <w:rFonts w:asciiTheme="minorHAnsi" w:hAnsiTheme="minorHAnsi" w:cstheme="minorHAnsi"/>
          <w:sz w:val="24"/>
          <w:szCs w:val="24"/>
        </w:rPr>
        <w:t>government department</w:t>
      </w:r>
      <w:r w:rsidR="005047B1" w:rsidRPr="0040064D">
        <w:rPr>
          <w:rFonts w:asciiTheme="minorHAnsi" w:hAnsiTheme="minorHAnsi" w:cstheme="minorHAnsi"/>
          <w:sz w:val="24"/>
          <w:szCs w:val="24"/>
        </w:rPr>
        <w:t>s</w:t>
      </w:r>
      <w:r w:rsidRPr="0040064D">
        <w:rPr>
          <w:rFonts w:asciiTheme="minorHAnsi" w:hAnsiTheme="minorHAnsi" w:cstheme="minorHAnsi"/>
          <w:sz w:val="24"/>
          <w:szCs w:val="24"/>
        </w:rPr>
        <w:t xml:space="preserve"> and others having established regulatory bodies</w:t>
      </w:r>
      <w:r w:rsidR="005047B1" w:rsidRPr="0040064D">
        <w:rPr>
          <w:rFonts w:asciiTheme="minorHAnsi" w:hAnsiTheme="minorHAnsi" w:cstheme="minorHAnsi"/>
          <w:sz w:val="24"/>
          <w:szCs w:val="24"/>
        </w:rPr>
        <w:t xml:space="preserve"> and mechanisms</w:t>
      </w:r>
      <w:r w:rsidRPr="0040064D">
        <w:rPr>
          <w:rFonts w:asciiTheme="minorHAnsi" w:hAnsiTheme="minorHAnsi" w:cstheme="minorHAnsi"/>
          <w:sz w:val="24"/>
          <w:szCs w:val="24"/>
        </w:rPr>
        <w:t>.</w:t>
      </w:r>
      <w:r w:rsidR="005047B1" w:rsidRPr="0040064D">
        <w:rPr>
          <w:rFonts w:asciiTheme="minorHAnsi" w:hAnsiTheme="minorHAnsi" w:cstheme="minorHAnsi"/>
          <w:sz w:val="24"/>
          <w:szCs w:val="24"/>
        </w:rPr>
        <w:t xml:space="preserve"> </w:t>
      </w:r>
    </w:p>
    <w:p w14:paraId="505B828D" w14:textId="11E2E637" w:rsidR="00C717AE" w:rsidRDefault="00FA1186" w:rsidP="00EE68F9">
      <w:pPr>
        <w:pStyle w:val="ListParagraph"/>
        <w:widowControl w:val="0"/>
        <w:numPr>
          <w:ilvl w:val="1"/>
          <w:numId w:val="22"/>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ind w:left="567" w:hanging="567"/>
        <w:contextualSpacing w:val="0"/>
        <w:rPr>
          <w:rFonts w:asciiTheme="minorHAnsi" w:hAnsiTheme="minorHAnsi" w:cstheme="minorHAnsi"/>
          <w:sz w:val="24"/>
          <w:szCs w:val="24"/>
        </w:rPr>
      </w:pPr>
      <w:r w:rsidRPr="0040064D">
        <w:rPr>
          <w:rFonts w:asciiTheme="minorHAnsi" w:hAnsiTheme="minorHAnsi" w:cstheme="minorHAnsi"/>
          <w:sz w:val="24"/>
          <w:szCs w:val="24"/>
        </w:rPr>
        <w:t>I</w:t>
      </w:r>
      <w:r w:rsidR="0040064D">
        <w:rPr>
          <w:rFonts w:asciiTheme="minorHAnsi" w:hAnsiTheme="minorHAnsi" w:cstheme="minorHAnsi"/>
          <w:sz w:val="24"/>
          <w:szCs w:val="24"/>
        </w:rPr>
        <w:t xml:space="preserve">mportantly, </w:t>
      </w:r>
      <w:r w:rsidR="006A6119" w:rsidRPr="0040064D">
        <w:rPr>
          <w:rFonts w:asciiTheme="minorHAnsi" w:hAnsiTheme="minorHAnsi" w:cstheme="minorHAnsi"/>
          <w:sz w:val="24"/>
          <w:szCs w:val="24"/>
        </w:rPr>
        <w:t xml:space="preserve">the NDIS Commissioner should engage in </w:t>
      </w:r>
      <w:r w:rsidR="00C717AE" w:rsidRPr="0040064D">
        <w:rPr>
          <w:rFonts w:asciiTheme="minorHAnsi" w:hAnsiTheme="minorHAnsi" w:cstheme="minorHAnsi"/>
          <w:sz w:val="24"/>
          <w:szCs w:val="24"/>
        </w:rPr>
        <w:t>processes</w:t>
      </w:r>
      <w:r w:rsidR="006A6119" w:rsidRPr="0040064D">
        <w:rPr>
          <w:rFonts w:asciiTheme="minorHAnsi" w:hAnsiTheme="minorHAnsi" w:cstheme="minorHAnsi"/>
          <w:sz w:val="24"/>
          <w:szCs w:val="24"/>
        </w:rPr>
        <w:t xml:space="preserve"> that are underway to give effect to Australia’s commitment to ratify the Optional Protocol to the Convention Against Torture (</w:t>
      </w:r>
      <w:proofErr w:type="spellStart"/>
      <w:r w:rsidR="006A6119" w:rsidRPr="0040064D">
        <w:rPr>
          <w:rFonts w:asciiTheme="minorHAnsi" w:hAnsiTheme="minorHAnsi" w:cstheme="minorHAnsi"/>
          <w:sz w:val="24"/>
          <w:szCs w:val="24"/>
        </w:rPr>
        <w:t>OpCAT</w:t>
      </w:r>
      <w:proofErr w:type="spellEnd"/>
      <w:r w:rsidR="006A6119" w:rsidRPr="0040064D">
        <w:rPr>
          <w:rFonts w:asciiTheme="minorHAnsi" w:hAnsiTheme="minorHAnsi" w:cstheme="minorHAnsi"/>
          <w:sz w:val="24"/>
          <w:szCs w:val="24"/>
        </w:rPr>
        <w:t>)</w:t>
      </w:r>
      <w:r w:rsidR="00BF0CED">
        <w:rPr>
          <w:rStyle w:val="FootnoteReference"/>
          <w:rFonts w:asciiTheme="minorHAnsi" w:hAnsiTheme="minorHAnsi" w:cstheme="minorHAnsi"/>
          <w:sz w:val="24"/>
          <w:szCs w:val="24"/>
        </w:rPr>
        <w:footnoteReference w:id="17"/>
      </w:r>
      <w:r w:rsidR="00C717AE" w:rsidRPr="0040064D">
        <w:rPr>
          <w:rFonts w:asciiTheme="minorHAnsi" w:hAnsiTheme="minorHAnsi" w:cstheme="minorHAnsi"/>
          <w:sz w:val="24"/>
          <w:szCs w:val="24"/>
        </w:rPr>
        <w:t xml:space="preserve"> in order to ensure that people with disability are included in the mechanisms that need to be established following ratification.</w:t>
      </w:r>
      <w:r w:rsidR="00321CC6">
        <w:rPr>
          <w:rStyle w:val="FootnoteReference"/>
          <w:rFonts w:asciiTheme="minorHAnsi" w:hAnsiTheme="minorHAnsi" w:cstheme="minorHAnsi"/>
          <w:sz w:val="24"/>
          <w:szCs w:val="24"/>
        </w:rPr>
        <w:footnoteReference w:id="18"/>
      </w:r>
      <w:r w:rsidR="00C717AE" w:rsidRPr="0040064D">
        <w:rPr>
          <w:rFonts w:asciiTheme="minorHAnsi" w:hAnsiTheme="minorHAnsi" w:cstheme="minorHAnsi"/>
          <w:sz w:val="24"/>
          <w:szCs w:val="24"/>
        </w:rPr>
        <w:t xml:space="preserve"> In particular, </w:t>
      </w:r>
      <w:r w:rsidR="00711076">
        <w:rPr>
          <w:rFonts w:asciiTheme="minorHAnsi" w:hAnsiTheme="minorHAnsi" w:cstheme="minorHAnsi"/>
          <w:sz w:val="24"/>
          <w:szCs w:val="24"/>
        </w:rPr>
        <w:t xml:space="preserve">the NDIS </w:t>
      </w:r>
      <w:r w:rsidR="00711076">
        <w:rPr>
          <w:rFonts w:asciiTheme="minorHAnsi" w:hAnsiTheme="minorHAnsi" w:cstheme="minorHAnsi"/>
          <w:sz w:val="24"/>
          <w:szCs w:val="24"/>
        </w:rPr>
        <w:lastRenderedPageBreak/>
        <w:t xml:space="preserve">Commissioner should be engaged in the </w:t>
      </w:r>
      <w:r w:rsidR="00C717AE" w:rsidRPr="0040064D">
        <w:rPr>
          <w:rFonts w:asciiTheme="minorHAnsi" w:hAnsiTheme="minorHAnsi" w:cstheme="minorHAnsi"/>
          <w:sz w:val="24"/>
          <w:szCs w:val="24"/>
        </w:rPr>
        <w:t>establishment of an independent national preventive mechanism to monitor places of detention, potentially including disability residential settings, to ensure people with disability are not subjected to mistreatment. This would also more fully respond to the recommendation from the Committee on the Rights of Persons with Disabilities to end restrictive practices, “including by establishing an independent national preventative mechanism to monitor places of detention” for people with disability.</w:t>
      </w:r>
      <w:r w:rsidR="00711076">
        <w:rPr>
          <w:rStyle w:val="FootnoteReference"/>
          <w:rFonts w:asciiTheme="minorHAnsi" w:hAnsiTheme="minorHAnsi" w:cstheme="minorHAnsi"/>
          <w:sz w:val="24"/>
          <w:szCs w:val="24"/>
        </w:rPr>
        <w:footnoteReference w:id="19"/>
      </w:r>
      <w:r w:rsidR="00711076">
        <w:rPr>
          <w:rFonts w:asciiTheme="minorHAnsi" w:hAnsiTheme="minorHAnsi" w:cstheme="minorHAnsi"/>
          <w:sz w:val="24"/>
          <w:szCs w:val="24"/>
        </w:rPr>
        <w:t xml:space="preserve"> </w:t>
      </w:r>
    </w:p>
    <w:p w14:paraId="4429FBBE" w14:textId="419FA163" w:rsidR="00711076" w:rsidRPr="00AC0EE2" w:rsidRDefault="00711076" w:rsidP="00AC0EE2">
      <w:pPr>
        <w:spacing w:after="120"/>
        <w:ind w:left="567" w:hanging="567"/>
        <w:rPr>
          <w:rFonts w:cs="Calibri"/>
          <w:b/>
          <w:i/>
          <w:sz w:val="24"/>
          <w:szCs w:val="24"/>
        </w:rPr>
      </w:pPr>
      <w:r w:rsidRPr="00AC0EE2">
        <w:rPr>
          <w:rFonts w:cs="Calibri"/>
          <w:b/>
          <w:i/>
          <w:sz w:val="24"/>
          <w:szCs w:val="24"/>
        </w:rPr>
        <w:t>Recommendation</w:t>
      </w:r>
      <w:r w:rsidR="002B6A0B" w:rsidRPr="00AC0EE2">
        <w:rPr>
          <w:rFonts w:cs="Calibri"/>
          <w:b/>
          <w:i/>
          <w:sz w:val="24"/>
          <w:szCs w:val="24"/>
        </w:rPr>
        <w:t>s</w:t>
      </w:r>
      <w:r w:rsidRPr="00AC0EE2">
        <w:rPr>
          <w:rFonts w:cs="Calibri"/>
          <w:b/>
          <w:i/>
          <w:sz w:val="24"/>
          <w:szCs w:val="24"/>
        </w:rPr>
        <w:t xml:space="preserve">: </w:t>
      </w:r>
    </w:p>
    <w:p w14:paraId="481D45D1" w14:textId="141A0A18" w:rsidR="00711076" w:rsidRDefault="00D563EE" w:rsidP="00D563EE">
      <w:pPr>
        <w:pStyle w:val="ListParagraph"/>
        <w:widowControl w:val="0"/>
        <w:numPr>
          <w:ilvl w:val="0"/>
          <w:numId w:val="2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asciiTheme="minorHAnsi" w:hAnsiTheme="minorHAnsi" w:cstheme="minorHAnsi"/>
          <w:sz w:val="24"/>
          <w:szCs w:val="24"/>
        </w:rPr>
      </w:pPr>
      <w:r>
        <w:rPr>
          <w:rFonts w:asciiTheme="minorHAnsi" w:hAnsiTheme="minorHAnsi" w:cstheme="minorHAnsi"/>
          <w:sz w:val="24"/>
          <w:szCs w:val="24"/>
        </w:rPr>
        <w:t>Legislation to establish the NDIS Commission should include legislative powers to enable the NDIS Commissioner to prohibit certain restrictive practices that correspond to criminal penalties.</w:t>
      </w:r>
    </w:p>
    <w:p w14:paraId="0DEE1730" w14:textId="0CB06D81" w:rsidR="00D563EE" w:rsidRDefault="00D563EE" w:rsidP="00D563EE">
      <w:pPr>
        <w:pStyle w:val="ListParagraph"/>
        <w:widowControl w:val="0"/>
        <w:numPr>
          <w:ilvl w:val="0"/>
          <w:numId w:val="2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asciiTheme="minorHAnsi" w:hAnsiTheme="minorHAnsi" w:cstheme="minorHAnsi"/>
          <w:sz w:val="24"/>
          <w:szCs w:val="24"/>
        </w:rPr>
      </w:pPr>
      <w:proofErr w:type="gramStart"/>
      <w:r>
        <w:rPr>
          <w:rFonts w:asciiTheme="minorHAnsi" w:hAnsiTheme="minorHAnsi" w:cstheme="minorHAnsi"/>
          <w:sz w:val="24"/>
          <w:szCs w:val="24"/>
        </w:rPr>
        <w:t>Nationally consistent regulatory mechanisms for the authorisation of behaviour support plans should be established by State and Territories</w:t>
      </w:r>
      <w:proofErr w:type="gramEnd"/>
      <w:r>
        <w:rPr>
          <w:rFonts w:asciiTheme="minorHAnsi" w:hAnsiTheme="minorHAnsi" w:cstheme="minorHAnsi"/>
          <w:sz w:val="24"/>
          <w:szCs w:val="24"/>
        </w:rPr>
        <w:t>.</w:t>
      </w:r>
    </w:p>
    <w:p w14:paraId="2DA0CB9F" w14:textId="4FFC6EAD" w:rsidR="00D563EE" w:rsidRDefault="00D563EE" w:rsidP="00711076">
      <w:pPr>
        <w:pStyle w:val="ListParagraph"/>
        <w:widowControl w:val="0"/>
        <w:numPr>
          <w:ilvl w:val="0"/>
          <w:numId w:val="21"/>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hAnsiTheme="minorHAnsi" w:cstheme="minorHAnsi"/>
          <w:sz w:val="24"/>
          <w:szCs w:val="24"/>
        </w:rPr>
      </w:pPr>
      <w:r>
        <w:rPr>
          <w:rFonts w:asciiTheme="minorHAnsi" w:hAnsiTheme="minorHAnsi" w:cstheme="minorHAnsi"/>
          <w:sz w:val="24"/>
          <w:szCs w:val="24"/>
        </w:rPr>
        <w:t xml:space="preserve">The NDIS Commissioner should engage in processes concerning the ratification of </w:t>
      </w:r>
      <w:proofErr w:type="spellStart"/>
      <w:r>
        <w:rPr>
          <w:rFonts w:asciiTheme="minorHAnsi" w:hAnsiTheme="minorHAnsi" w:cstheme="minorHAnsi"/>
          <w:sz w:val="24"/>
          <w:szCs w:val="24"/>
        </w:rPr>
        <w:t>OpCAT</w:t>
      </w:r>
      <w:proofErr w:type="spellEnd"/>
      <w:r>
        <w:rPr>
          <w:rFonts w:asciiTheme="minorHAnsi" w:hAnsiTheme="minorHAnsi" w:cstheme="minorHAnsi"/>
          <w:sz w:val="24"/>
          <w:szCs w:val="24"/>
        </w:rPr>
        <w:t xml:space="preserve"> in order to ensure mechanisms established are inclusive of people with disability and interface with the NDIS Commission. </w:t>
      </w:r>
    </w:p>
    <w:p w14:paraId="125729AF" w14:textId="77777777" w:rsidR="00D563EE" w:rsidRPr="00711076" w:rsidRDefault="00D563EE" w:rsidP="00B606B7">
      <w:pPr>
        <w:pStyle w:val="ListParagraph"/>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asciiTheme="minorHAnsi" w:hAnsiTheme="minorHAnsi" w:cstheme="minorHAnsi"/>
          <w:sz w:val="24"/>
          <w:szCs w:val="24"/>
        </w:rPr>
      </w:pPr>
    </w:p>
    <w:p w14:paraId="771BFE71" w14:textId="55B03717" w:rsidR="00B71CFD" w:rsidRPr="00542F0E" w:rsidRDefault="00542F0E" w:rsidP="00D563EE">
      <w:pPr>
        <w:pStyle w:val="Heading2"/>
      </w:pPr>
      <w:bookmarkStart w:id="8" w:name="_Toc489183551"/>
      <w:r w:rsidRPr="00542F0E">
        <w:t>Independent advocacy</w:t>
      </w:r>
      <w:r w:rsidR="00711076">
        <w:t>:</w:t>
      </w:r>
      <w:bookmarkEnd w:id="8"/>
    </w:p>
    <w:p w14:paraId="71AEBDD1" w14:textId="77777777" w:rsidR="004458E1" w:rsidRDefault="00114B42" w:rsidP="004458E1">
      <w:pPr>
        <w:pStyle w:val="ListParagraph"/>
        <w:numPr>
          <w:ilvl w:val="1"/>
          <w:numId w:val="22"/>
        </w:numPr>
        <w:spacing w:before="120" w:after="240"/>
        <w:ind w:left="567" w:hanging="567"/>
        <w:contextualSpacing w:val="0"/>
        <w:rPr>
          <w:sz w:val="24"/>
          <w:szCs w:val="24"/>
          <w:lang w:val="en-US"/>
        </w:rPr>
      </w:pPr>
      <w:r>
        <w:rPr>
          <w:sz w:val="24"/>
          <w:szCs w:val="24"/>
          <w:lang w:val="en-US"/>
        </w:rPr>
        <w:t>The important role of independent advocacy i</w:t>
      </w:r>
      <w:r w:rsidR="004458E1">
        <w:rPr>
          <w:sz w:val="24"/>
          <w:szCs w:val="24"/>
          <w:lang w:val="en-US"/>
        </w:rPr>
        <w:t>n supporting people with disability to address service quality and issues of violence, abuse and neglect is recognised i</w:t>
      </w:r>
      <w:r>
        <w:rPr>
          <w:sz w:val="24"/>
          <w:szCs w:val="24"/>
          <w:lang w:val="en-US"/>
        </w:rPr>
        <w:t>n the Quality and Safeguarding Framework</w:t>
      </w:r>
      <w:r w:rsidR="004458E1">
        <w:rPr>
          <w:sz w:val="24"/>
          <w:szCs w:val="24"/>
          <w:lang w:val="en-US"/>
        </w:rPr>
        <w:t>.</w:t>
      </w:r>
      <w:r w:rsidR="004458E1">
        <w:rPr>
          <w:rStyle w:val="FootnoteReference"/>
          <w:sz w:val="24"/>
          <w:szCs w:val="24"/>
          <w:lang w:val="en-US"/>
        </w:rPr>
        <w:footnoteReference w:id="20"/>
      </w:r>
      <w:r w:rsidR="004458E1">
        <w:rPr>
          <w:sz w:val="24"/>
          <w:szCs w:val="24"/>
          <w:lang w:val="en-US"/>
        </w:rPr>
        <w:t xml:space="preserve">  </w:t>
      </w:r>
      <w:r>
        <w:rPr>
          <w:sz w:val="24"/>
          <w:szCs w:val="24"/>
          <w:lang w:val="en-US"/>
        </w:rPr>
        <w:t xml:space="preserve"> </w:t>
      </w:r>
    </w:p>
    <w:p w14:paraId="6589FCBF" w14:textId="6D6BCBAD" w:rsidR="004458E1" w:rsidRPr="00DB6345" w:rsidRDefault="004458E1" w:rsidP="004458E1">
      <w:pPr>
        <w:pStyle w:val="ListParagraph"/>
        <w:numPr>
          <w:ilvl w:val="1"/>
          <w:numId w:val="22"/>
        </w:numPr>
        <w:spacing w:before="120" w:after="240"/>
        <w:ind w:left="567" w:hanging="567"/>
        <w:contextualSpacing w:val="0"/>
        <w:rPr>
          <w:sz w:val="24"/>
          <w:szCs w:val="24"/>
          <w:lang w:val="en-US"/>
        </w:rPr>
      </w:pPr>
      <w:r w:rsidRPr="004458E1">
        <w:rPr>
          <w:sz w:val="24"/>
          <w:szCs w:val="24"/>
        </w:rPr>
        <w:t xml:space="preserve">However, the </w:t>
      </w:r>
      <w:r>
        <w:rPr>
          <w:sz w:val="24"/>
          <w:szCs w:val="24"/>
        </w:rPr>
        <w:t>Bill</w:t>
      </w:r>
      <w:r w:rsidRPr="004458E1">
        <w:rPr>
          <w:sz w:val="24"/>
          <w:szCs w:val="24"/>
        </w:rPr>
        <w:t xml:space="preserve"> does not include any provisions that directly relate to this critical role </w:t>
      </w:r>
      <w:r w:rsidR="00DB6345">
        <w:rPr>
          <w:sz w:val="24"/>
          <w:szCs w:val="24"/>
        </w:rPr>
        <w:t xml:space="preserve">and the strong likelihood that advocacy will engage regularly </w:t>
      </w:r>
      <w:r>
        <w:rPr>
          <w:sz w:val="24"/>
          <w:szCs w:val="24"/>
        </w:rPr>
        <w:t xml:space="preserve">with the NDIS Commission.  </w:t>
      </w:r>
      <w:r w:rsidRPr="004458E1">
        <w:rPr>
          <w:sz w:val="24"/>
          <w:szCs w:val="24"/>
        </w:rPr>
        <w:t xml:space="preserve">While </w:t>
      </w:r>
      <w:r w:rsidR="00DB6345">
        <w:rPr>
          <w:sz w:val="24"/>
          <w:szCs w:val="24"/>
        </w:rPr>
        <w:t>the role of advocacy may be included more substantially in the NDIS Rules, there are some provisions in the</w:t>
      </w:r>
      <w:r w:rsidRPr="004458E1">
        <w:rPr>
          <w:sz w:val="24"/>
          <w:szCs w:val="24"/>
        </w:rPr>
        <w:t xml:space="preserve"> Bill that would be strengthened </w:t>
      </w:r>
      <w:r w:rsidR="00DB6345">
        <w:rPr>
          <w:sz w:val="24"/>
          <w:szCs w:val="24"/>
        </w:rPr>
        <w:t xml:space="preserve">by </w:t>
      </w:r>
      <w:r w:rsidRPr="004458E1">
        <w:rPr>
          <w:sz w:val="24"/>
          <w:szCs w:val="24"/>
        </w:rPr>
        <w:t>the inclusion of advocacy.</w:t>
      </w:r>
    </w:p>
    <w:p w14:paraId="1D559B97" w14:textId="1494EDC8" w:rsidR="00DB6345" w:rsidRPr="00A30FBB" w:rsidRDefault="00DB6345" w:rsidP="004458E1">
      <w:pPr>
        <w:pStyle w:val="ListParagraph"/>
        <w:numPr>
          <w:ilvl w:val="1"/>
          <w:numId w:val="22"/>
        </w:numPr>
        <w:spacing w:before="120" w:after="240"/>
        <w:ind w:left="567" w:hanging="567"/>
        <w:contextualSpacing w:val="0"/>
        <w:rPr>
          <w:sz w:val="24"/>
          <w:szCs w:val="24"/>
          <w:lang w:val="en-US"/>
        </w:rPr>
      </w:pPr>
      <w:r>
        <w:rPr>
          <w:sz w:val="24"/>
          <w:szCs w:val="24"/>
        </w:rPr>
        <w:t>In particular, section 73ZA of the Bill provides protection for ‘disclosers’ of information from any civil or criminal prosecution and provides ‘qualified privilege’ in relation to the disclosure.  The section covers a number of disclosers that are part of NDIS providers, as well as “a person with disability who is receiving a support or service from the NDIS provider, or a nominee, family member, carer or significant other of that person”.</w:t>
      </w:r>
      <w:r w:rsidR="00A30FBB">
        <w:rPr>
          <w:rStyle w:val="FootnoteReference"/>
          <w:sz w:val="24"/>
          <w:szCs w:val="24"/>
        </w:rPr>
        <w:footnoteReference w:id="21"/>
      </w:r>
      <w:r>
        <w:rPr>
          <w:sz w:val="24"/>
          <w:szCs w:val="24"/>
        </w:rPr>
        <w:t xml:space="preserve"> </w:t>
      </w:r>
    </w:p>
    <w:p w14:paraId="41F6284F" w14:textId="7F38891A" w:rsidR="00A30FBB" w:rsidRPr="00A30FBB" w:rsidRDefault="00A30FBB" w:rsidP="004458E1">
      <w:pPr>
        <w:pStyle w:val="ListParagraph"/>
        <w:numPr>
          <w:ilvl w:val="1"/>
          <w:numId w:val="22"/>
        </w:numPr>
        <w:spacing w:before="120" w:after="240"/>
        <w:ind w:left="567" w:hanging="567"/>
        <w:contextualSpacing w:val="0"/>
        <w:rPr>
          <w:sz w:val="24"/>
          <w:szCs w:val="24"/>
          <w:lang w:val="en-US"/>
        </w:rPr>
      </w:pPr>
      <w:r>
        <w:rPr>
          <w:sz w:val="24"/>
          <w:szCs w:val="24"/>
        </w:rPr>
        <w:t xml:space="preserve">However, the Bill does not cover independent advocates who may disclose information.  This is despite the fact that legal action and malice can, and has been directed at advocates by service providers and / or staff of service providers that have been the subject of disclosures.  </w:t>
      </w:r>
      <w:r>
        <w:rPr>
          <w:sz w:val="24"/>
          <w:szCs w:val="24"/>
        </w:rPr>
        <w:lastRenderedPageBreak/>
        <w:t xml:space="preserve">Independent advocates should have the same protections against disclosure of information as nominees, family members, carers or significant others of a person with disability. </w:t>
      </w:r>
    </w:p>
    <w:p w14:paraId="40457364" w14:textId="77777777" w:rsidR="002B6A0B" w:rsidRPr="00AC0EE2" w:rsidRDefault="002B6A0B" w:rsidP="00AC0EE2">
      <w:pPr>
        <w:spacing w:after="120"/>
        <w:ind w:left="567" w:hanging="567"/>
        <w:rPr>
          <w:rFonts w:cs="Calibri"/>
          <w:b/>
          <w:i/>
          <w:sz w:val="24"/>
          <w:szCs w:val="24"/>
        </w:rPr>
      </w:pPr>
      <w:r w:rsidRPr="00AC0EE2">
        <w:rPr>
          <w:rFonts w:cs="Calibri"/>
          <w:b/>
          <w:i/>
          <w:sz w:val="24"/>
          <w:szCs w:val="24"/>
        </w:rPr>
        <w:t xml:space="preserve">Recommendations: </w:t>
      </w:r>
    </w:p>
    <w:p w14:paraId="70C06067" w14:textId="36C1019D" w:rsidR="00DA36BE" w:rsidRDefault="00BB3EF2" w:rsidP="00BB3EF2">
      <w:pPr>
        <w:pStyle w:val="ListParagraph"/>
        <w:widowControl w:val="0"/>
        <w:numPr>
          <w:ilvl w:val="0"/>
          <w:numId w:val="21"/>
        </w:numPr>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Independent advocacy should be included in the NDIS Rules to elaborate on the role of independent advocacy in implementing the Quality and Safeguarding Framework and the interface with the NDIS Commission. </w:t>
      </w:r>
    </w:p>
    <w:p w14:paraId="027DFF8A" w14:textId="18EE6E9F" w:rsidR="00BB3EF2" w:rsidRPr="008971B2" w:rsidRDefault="00BB3EF2" w:rsidP="008971B2">
      <w:pPr>
        <w:pStyle w:val="ListParagraph"/>
        <w:widowControl w:val="0"/>
        <w:numPr>
          <w:ilvl w:val="0"/>
          <w:numId w:val="21"/>
        </w:numPr>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240"/>
        <w:rPr>
          <w:rFonts w:cs="Calibri"/>
          <w:sz w:val="24"/>
          <w:szCs w:val="24"/>
        </w:rPr>
      </w:pPr>
      <w:r>
        <w:rPr>
          <w:rFonts w:cs="Calibri"/>
          <w:sz w:val="24"/>
          <w:szCs w:val="24"/>
        </w:rPr>
        <w:t xml:space="preserve">Section 73ZA of the Bill should name independent advocates as disclosers of information so that they are covered by the protections contained in this section. </w:t>
      </w:r>
    </w:p>
    <w:p w14:paraId="20568288" w14:textId="2BCE92AA" w:rsidR="00CF2781" w:rsidRPr="005629B0" w:rsidRDefault="00EA22A1" w:rsidP="00CF2781">
      <w:pPr>
        <w:pStyle w:val="Heading1"/>
        <w:ind w:hanging="720"/>
      </w:pPr>
      <w:bookmarkStart w:id="9" w:name="_Toc489183552"/>
      <w:r>
        <w:t>Schedule 2</w:t>
      </w:r>
      <w:bookmarkEnd w:id="9"/>
    </w:p>
    <w:p w14:paraId="2E13DCC5" w14:textId="77777777" w:rsidR="00F5359F" w:rsidRPr="005629B0" w:rsidRDefault="00F5359F" w:rsidP="00F5359F">
      <w:pPr>
        <w:pBdr>
          <w:bottom w:val="single" w:sz="12" w:space="1" w:color="auto"/>
        </w:pBdr>
        <w:rPr>
          <w:sz w:val="16"/>
          <w:szCs w:val="16"/>
        </w:rPr>
      </w:pPr>
    </w:p>
    <w:p w14:paraId="77F87590" w14:textId="4ACFB4BD" w:rsidR="00B82578" w:rsidRPr="00542F0E" w:rsidRDefault="006C2711" w:rsidP="00DB6345">
      <w:pPr>
        <w:pStyle w:val="Heading2"/>
      </w:pPr>
      <w:bookmarkStart w:id="10" w:name="_Toc489183553"/>
      <w:r>
        <w:t>Decision-making and the CRPD</w:t>
      </w:r>
      <w:r w:rsidR="00DB6345">
        <w:t>:</w:t>
      </w:r>
      <w:bookmarkEnd w:id="10"/>
    </w:p>
    <w:p w14:paraId="0E0A7B52" w14:textId="6E6C0F93" w:rsidR="00A2062F" w:rsidRDefault="00BB3EF2" w:rsidP="00180B83">
      <w:pPr>
        <w:spacing w:before="120" w:after="240"/>
        <w:ind w:left="567" w:hanging="567"/>
        <w:rPr>
          <w:sz w:val="24"/>
          <w:szCs w:val="24"/>
        </w:rPr>
      </w:pPr>
      <w:r>
        <w:rPr>
          <w:sz w:val="24"/>
          <w:szCs w:val="24"/>
        </w:rPr>
        <w:t>4.1</w:t>
      </w:r>
      <w:r>
        <w:rPr>
          <w:sz w:val="24"/>
          <w:szCs w:val="24"/>
        </w:rPr>
        <w:tab/>
      </w:r>
      <w:r w:rsidR="00B82578" w:rsidRPr="00BB3EF2">
        <w:rPr>
          <w:sz w:val="24"/>
          <w:szCs w:val="24"/>
        </w:rPr>
        <w:t xml:space="preserve">DPO Australia is disappointed and concerned that there has been no formal Australian Government response to the final report from the </w:t>
      </w:r>
      <w:r w:rsidR="003635ED" w:rsidRPr="00BB3EF2">
        <w:rPr>
          <w:sz w:val="24"/>
          <w:szCs w:val="24"/>
        </w:rPr>
        <w:t xml:space="preserve">Australian Law Reform Commission (ALRC), </w:t>
      </w:r>
      <w:r w:rsidR="003635ED" w:rsidRPr="00BB3EF2">
        <w:rPr>
          <w:i/>
          <w:sz w:val="24"/>
          <w:szCs w:val="24"/>
        </w:rPr>
        <w:t>Equality, Capacity and Disability in Commonwealth Law</w:t>
      </w:r>
      <w:r w:rsidR="003635ED" w:rsidRPr="00BB3EF2">
        <w:rPr>
          <w:sz w:val="24"/>
          <w:szCs w:val="24"/>
        </w:rPr>
        <w:t>.</w:t>
      </w:r>
      <w:r w:rsidR="00180B83">
        <w:rPr>
          <w:rStyle w:val="FootnoteReference"/>
          <w:sz w:val="24"/>
          <w:szCs w:val="24"/>
        </w:rPr>
        <w:footnoteReference w:id="22"/>
      </w:r>
      <w:r w:rsidR="003635ED" w:rsidRPr="00BB3EF2">
        <w:rPr>
          <w:sz w:val="24"/>
          <w:szCs w:val="24"/>
        </w:rPr>
        <w:t xml:space="preserve"> This report provided recommendations for amendments to Commonwealth law, including the NDIS Act to enhance compliance with article 12 of the CRPD, </w:t>
      </w:r>
      <w:r w:rsidR="003635ED" w:rsidRPr="00BB3EF2">
        <w:rPr>
          <w:i/>
          <w:sz w:val="24"/>
          <w:szCs w:val="24"/>
        </w:rPr>
        <w:t>Equal recognition before the law</w:t>
      </w:r>
      <w:r w:rsidR="00A2062F" w:rsidRPr="00BB3EF2">
        <w:rPr>
          <w:sz w:val="24"/>
          <w:szCs w:val="24"/>
        </w:rPr>
        <w:t>.</w:t>
      </w:r>
      <w:r w:rsidR="00D34628" w:rsidRPr="00BB3EF2">
        <w:rPr>
          <w:sz w:val="24"/>
          <w:szCs w:val="24"/>
        </w:rPr>
        <w:t xml:space="preserve"> This included a</w:t>
      </w:r>
      <w:r w:rsidR="00180B83">
        <w:rPr>
          <w:sz w:val="24"/>
          <w:szCs w:val="24"/>
        </w:rPr>
        <w:t xml:space="preserve">s a first and </w:t>
      </w:r>
      <w:r w:rsidR="00D34628" w:rsidRPr="00BB3EF2">
        <w:rPr>
          <w:sz w:val="24"/>
          <w:szCs w:val="24"/>
        </w:rPr>
        <w:t>overarching recommendation t</w:t>
      </w:r>
      <w:r w:rsidR="00180B83">
        <w:rPr>
          <w:sz w:val="24"/>
          <w:szCs w:val="24"/>
        </w:rPr>
        <w:t>he</w:t>
      </w:r>
      <w:r w:rsidR="00D34628" w:rsidRPr="00BB3EF2">
        <w:rPr>
          <w:sz w:val="24"/>
          <w:szCs w:val="24"/>
        </w:rPr>
        <w:t xml:space="preserve"> establish</w:t>
      </w:r>
      <w:r w:rsidR="00180B83">
        <w:rPr>
          <w:sz w:val="24"/>
          <w:szCs w:val="24"/>
        </w:rPr>
        <w:t>ment of</w:t>
      </w:r>
      <w:r w:rsidR="00D34628" w:rsidRPr="00BB3EF2">
        <w:rPr>
          <w:sz w:val="24"/>
          <w:szCs w:val="24"/>
        </w:rPr>
        <w:t xml:space="preserve"> nati</w:t>
      </w:r>
      <w:r w:rsidR="00180B83">
        <w:rPr>
          <w:sz w:val="24"/>
          <w:szCs w:val="24"/>
        </w:rPr>
        <w:t>onal decision-making principles to guide reform.</w:t>
      </w:r>
      <w:r w:rsidR="00180B83">
        <w:rPr>
          <w:rStyle w:val="FootnoteReference"/>
          <w:sz w:val="24"/>
          <w:szCs w:val="24"/>
        </w:rPr>
        <w:footnoteReference w:id="23"/>
      </w:r>
    </w:p>
    <w:p w14:paraId="5D920538" w14:textId="46E452C6" w:rsidR="00A2062F" w:rsidRDefault="00180B83" w:rsidP="00ED4F4F">
      <w:pPr>
        <w:spacing w:before="120" w:after="240"/>
        <w:ind w:left="567" w:hanging="567"/>
        <w:rPr>
          <w:sz w:val="24"/>
          <w:szCs w:val="24"/>
        </w:rPr>
      </w:pPr>
      <w:r>
        <w:rPr>
          <w:sz w:val="24"/>
          <w:szCs w:val="24"/>
        </w:rPr>
        <w:t>4.2</w:t>
      </w:r>
      <w:r>
        <w:rPr>
          <w:sz w:val="24"/>
          <w:szCs w:val="24"/>
        </w:rPr>
        <w:tab/>
      </w:r>
      <w:r w:rsidR="003635ED" w:rsidRPr="00BB3EF2">
        <w:rPr>
          <w:sz w:val="24"/>
          <w:szCs w:val="24"/>
        </w:rPr>
        <w:t>A recommendation from the 2015 review of the NDIS Act was to “operationalise the ALRC recommendations relating to the NDIS”.</w:t>
      </w:r>
      <w:r w:rsidR="00ED4F4F">
        <w:rPr>
          <w:rStyle w:val="FootnoteReference"/>
          <w:sz w:val="24"/>
          <w:szCs w:val="24"/>
        </w:rPr>
        <w:footnoteReference w:id="24"/>
      </w:r>
      <w:r w:rsidR="003635ED" w:rsidRPr="00BB3EF2">
        <w:rPr>
          <w:sz w:val="24"/>
          <w:szCs w:val="24"/>
        </w:rPr>
        <w:t xml:space="preserve">  </w:t>
      </w:r>
      <w:r w:rsidR="00A2062F" w:rsidRPr="00BB3EF2">
        <w:rPr>
          <w:sz w:val="24"/>
          <w:szCs w:val="24"/>
        </w:rPr>
        <w:t>The Explanatory Memorandum to the Bill outlines that this recommendation was noted but not implemented as “COAG considered that the principles suggested by the ALRC are already broadly established in the NDIS framework”.</w:t>
      </w:r>
      <w:r w:rsidR="00ED4F4F">
        <w:rPr>
          <w:rStyle w:val="FootnoteReference"/>
          <w:sz w:val="24"/>
          <w:szCs w:val="24"/>
        </w:rPr>
        <w:footnoteReference w:id="25"/>
      </w:r>
      <w:r w:rsidR="00A2062F" w:rsidRPr="00BB3EF2">
        <w:rPr>
          <w:sz w:val="24"/>
          <w:szCs w:val="24"/>
        </w:rPr>
        <w:t xml:space="preserve"> </w:t>
      </w:r>
    </w:p>
    <w:p w14:paraId="7EFBED27" w14:textId="77777777" w:rsidR="00ED4F4F" w:rsidRDefault="00ED4F4F" w:rsidP="00ED4F4F">
      <w:pPr>
        <w:spacing w:before="120" w:after="240"/>
        <w:ind w:left="567" w:hanging="567"/>
        <w:rPr>
          <w:sz w:val="24"/>
          <w:szCs w:val="24"/>
        </w:rPr>
      </w:pPr>
      <w:r>
        <w:rPr>
          <w:sz w:val="24"/>
          <w:szCs w:val="24"/>
        </w:rPr>
        <w:t>4.3</w:t>
      </w:r>
      <w:r>
        <w:rPr>
          <w:sz w:val="24"/>
          <w:szCs w:val="24"/>
        </w:rPr>
        <w:tab/>
      </w:r>
      <w:r w:rsidR="00A2062F" w:rsidRPr="00BB3EF2">
        <w:rPr>
          <w:sz w:val="24"/>
          <w:szCs w:val="24"/>
        </w:rPr>
        <w:t xml:space="preserve">DPO Australia disagrees with this conclusion and argues that provisions in the NDIS Act, such as </w:t>
      </w:r>
      <w:r w:rsidR="006C2711" w:rsidRPr="00BB3EF2">
        <w:rPr>
          <w:sz w:val="24"/>
          <w:szCs w:val="24"/>
        </w:rPr>
        <w:t xml:space="preserve">those relating to nominees, are based on substitute decision-making </w:t>
      </w:r>
      <w:r w:rsidR="00D34628" w:rsidRPr="00BB3EF2">
        <w:rPr>
          <w:sz w:val="24"/>
          <w:szCs w:val="24"/>
        </w:rPr>
        <w:t>models</w:t>
      </w:r>
      <w:r w:rsidR="006C2711" w:rsidRPr="00BB3EF2">
        <w:rPr>
          <w:sz w:val="24"/>
          <w:szCs w:val="24"/>
        </w:rPr>
        <w:t xml:space="preserve"> that are not compliant with the CRPD.  In a practical sense, this means that there is still a focus on whether a person with disability has capacity to make their own decisions, rather than on what supports a person with disability needs to exercise their right to make their own decisions.  </w:t>
      </w:r>
      <w:r w:rsidR="00D34628" w:rsidRPr="00BB3EF2">
        <w:rPr>
          <w:sz w:val="24"/>
          <w:szCs w:val="24"/>
        </w:rPr>
        <w:t xml:space="preserve">There is also still a focus on a ‘best interests’ approach to decision-making instead of the ‘will and preferences’ model for decision-making as articulated in article 12 of the CRPD. </w:t>
      </w:r>
    </w:p>
    <w:p w14:paraId="6E0F114D" w14:textId="585B23DE" w:rsidR="00A2062F" w:rsidRPr="00BB3EF2" w:rsidRDefault="00ED4F4F" w:rsidP="00ED4F4F">
      <w:pPr>
        <w:spacing w:before="120" w:after="240"/>
        <w:ind w:left="567" w:hanging="567"/>
        <w:rPr>
          <w:sz w:val="24"/>
          <w:szCs w:val="24"/>
        </w:rPr>
      </w:pPr>
      <w:r>
        <w:rPr>
          <w:sz w:val="24"/>
          <w:szCs w:val="24"/>
        </w:rPr>
        <w:t>4.4</w:t>
      </w:r>
      <w:r>
        <w:rPr>
          <w:sz w:val="24"/>
          <w:szCs w:val="24"/>
        </w:rPr>
        <w:tab/>
      </w:r>
      <w:r w:rsidR="00D34628" w:rsidRPr="00BB3EF2">
        <w:rPr>
          <w:sz w:val="24"/>
          <w:szCs w:val="24"/>
        </w:rPr>
        <w:t xml:space="preserve"> </w:t>
      </w:r>
      <w:r w:rsidR="006C2711" w:rsidRPr="00BB3EF2">
        <w:rPr>
          <w:sz w:val="24"/>
          <w:szCs w:val="24"/>
        </w:rPr>
        <w:t>The ALRC recommendations</w:t>
      </w:r>
      <w:r w:rsidR="00D34628" w:rsidRPr="00BB3EF2">
        <w:rPr>
          <w:sz w:val="24"/>
          <w:szCs w:val="24"/>
        </w:rPr>
        <w:t xml:space="preserve"> </w:t>
      </w:r>
      <w:r w:rsidR="006C2711" w:rsidRPr="00BB3EF2">
        <w:rPr>
          <w:sz w:val="24"/>
          <w:szCs w:val="24"/>
        </w:rPr>
        <w:t xml:space="preserve">in relation to the NDIS Act strengthen the shift to supported decision-making arrangements that </w:t>
      </w:r>
      <w:r w:rsidR="00D34628" w:rsidRPr="00BB3EF2">
        <w:rPr>
          <w:sz w:val="24"/>
          <w:szCs w:val="24"/>
        </w:rPr>
        <w:t xml:space="preserve">comply with the CRPD.  The decision not to include them </w:t>
      </w:r>
      <w:r w:rsidR="00D34628" w:rsidRPr="00BB3EF2">
        <w:rPr>
          <w:sz w:val="24"/>
          <w:szCs w:val="24"/>
        </w:rPr>
        <w:lastRenderedPageBreak/>
        <w:t xml:space="preserve">as amendments in Schedule 2 of the Bill is a missed opportunity to </w:t>
      </w:r>
      <w:r w:rsidR="00CC5DB1">
        <w:rPr>
          <w:sz w:val="24"/>
          <w:szCs w:val="24"/>
        </w:rPr>
        <w:t xml:space="preserve">enhance </w:t>
      </w:r>
      <w:r w:rsidR="00B21341">
        <w:rPr>
          <w:sz w:val="24"/>
          <w:szCs w:val="24"/>
        </w:rPr>
        <w:t>the NDIS Act</w:t>
      </w:r>
      <w:r w:rsidR="00CC5DB1">
        <w:rPr>
          <w:sz w:val="24"/>
          <w:szCs w:val="24"/>
        </w:rPr>
        <w:t xml:space="preserve">’s </w:t>
      </w:r>
      <w:r w:rsidR="00B21341">
        <w:rPr>
          <w:sz w:val="24"/>
          <w:szCs w:val="24"/>
        </w:rPr>
        <w:t xml:space="preserve">compliance with the CRPD by ensuring that </w:t>
      </w:r>
      <w:r w:rsidR="00D34628" w:rsidRPr="00BB3EF2">
        <w:rPr>
          <w:sz w:val="24"/>
          <w:szCs w:val="24"/>
        </w:rPr>
        <w:t xml:space="preserve">people with disability </w:t>
      </w:r>
      <w:r w:rsidR="00B21341">
        <w:rPr>
          <w:sz w:val="24"/>
          <w:szCs w:val="24"/>
        </w:rPr>
        <w:t>are able to</w:t>
      </w:r>
      <w:r w:rsidR="00D34628" w:rsidRPr="00BB3EF2">
        <w:rPr>
          <w:sz w:val="24"/>
          <w:szCs w:val="24"/>
        </w:rPr>
        <w:t xml:space="preserve"> exercise their legal capacity on an equal basis with others. </w:t>
      </w:r>
    </w:p>
    <w:p w14:paraId="6008B25D" w14:textId="48AF78F2" w:rsidR="004705C0" w:rsidRPr="00AC0EE2" w:rsidRDefault="004705C0" w:rsidP="00AC0EE2">
      <w:pPr>
        <w:spacing w:after="120"/>
        <w:ind w:left="567" w:hanging="567"/>
        <w:rPr>
          <w:rFonts w:cs="Calibri"/>
          <w:b/>
          <w:i/>
          <w:sz w:val="24"/>
          <w:szCs w:val="24"/>
        </w:rPr>
      </w:pPr>
      <w:r w:rsidRPr="00AC0EE2">
        <w:rPr>
          <w:rFonts w:cs="Calibri"/>
          <w:b/>
          <w:i/>
          <w:sz w:val="24"/>
          <w:szCs w:val="24"/>
        </w:rPr>
        <w:t xml:space="preserve">Recommendation: </w:t>
      </w:r>
    </w:p>
    <w:p w14:paraId="5228CB4D" w14:textId="77777777" w:rsidR="00CC5DB1" w:rsidRDefault="00CC5DB1" w:rsidP="00CC5DB1">
      <w:pPr>
        <w:pStyle w:val="ListParagraph"/>
        <w:widowControl w:val="0"/>
        <w:numPr>
          <w:ilvl w:val="0"/>
          <w:numId w:val="21"/>
        </w:numPr>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714" w:hanging="357"/>
        <w:contextualSpacing w:val="0"/>
        <w:rPr>
          <w:rFonts w:cs="Calibri"/>
          <w:sz w:val="24"/>
          <w:szCs w:val="24"/>
        </w:rPr>
      </w:pPr>
      <w:r>
        <w:rPr>
          <w:rFonts w:cs="Calibri"/>
          <w:sz w:val="24"/>
          <w:szCs w:val="24"/>
        </w:rPr>
        <w:t xml:space="preserve">The next review of the NDIS Act should incorporate amendments that implement the recommendations from the Australian Law Reform Commission’s report, </w:t>
      </w:r>
      <w:r w:rsidRPr="00CC5DB1">
        <w:rPr>
          <w:rFonts w:cs="Calibri"/>
          <w:i/>
          <w:sz w:val="24"/>
          <w:szCs w:val="24"/>
        </w:rPr>
        <w:t>Equality, Capacity and Disability in Commonwealth Law</w:t>
      </w:r>
      <w:r>
        <w:rPr>
          <w:rFonts w:cs="Calibri"/>
          <w:sz w:val="24"/>
          <w:szCs w:val="24"/>
        </w:rPr>
        <w:t>.</w:t>
      </w:r>
    </w:p>
    <w:p w14:paraId="3BCA9C78" w14:textId="73730725" w:rsidR="00B606B7" w:rsidRPr="00B606B7" w:rsidRDefault="00CC5DB1" w:rsidP="00B606B7">
      <w:pPr>
        <w:pStyle w:val="ListParagraph"/>
        <w:widowControl w:val="0"/>
        <w:numPr>
          <w:ilvl w:val="0"/>
          <w:numId w:val="21"/>
        </w:numPr>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ind w:left="714" w:hanging="357"/>
        <w:contextualSpacing w:val="0"/>
        <w:rPr>
          <w:rFonts w:cs="Calibri"/>
          <w:sz w:val="24"/>
          <w:szCs w:val="24"/>
        </w:rPr>
      </w:pPr>
      <w:r>
        <w:rPr>
          <w:rFonts w:cs="Calibri"/>
          <w:sz w:val="24"/>
          <w:szCs w:val="24"/>
        </w:rPr>
        <w:t xml:space="preserve"> The Australian Government should develop a legislative reform framework t</w:t>
      </w:r>
      <w:r w:rsidR="0039461C">
        <w:rPr>
          <w:rFonts w:cs="Calibri"/>
          <w:sz w:val="24"/>
          <w:szCs w:val="24"/>
        </w:rPr>
        <w:t>hat</w:t>
      </w:r>
      <w:r>
        <w:rPr>
          <w:rFonts w:cs="Calibri"/>
          <w:sz w:val="24"/>
          <w:szCs w:val="24"/>
        </w:rPr>
        <w:t xml:space="preserve"> </w:t>
      </w:r>
      <w:r w:rsidR="00B606B7">
        <w:rPr>
          <w:rFonts w:cs="Calibri"/>
          <w:sz w:val="24"/>
          <w:szCs w:val="24"/>
        </w:rPr>
        <w:t>establish</w:t>
      </w:r>
      <w:r w:rsidR="0039461C">
        <w:rPr>
          <w:rFonts w:cs="Calibri"/>
          <w:sz w:val="24"/>
          <w:szCs w:val="24"/>
        </w:rPr>
        <w:t>es</w:t>
      </w:r>
      <w:r w:rsidR="00B606B7">
        <w:rPr>
          <w:rFonts w:cs="Calibri"/>
          <w:sz w:val="24"/>
          <w:szCs w:val="24"/>
        </w:rPr>
        <w:t xml:space="preserve"> national decision-making principles to guide law and policy reform in line with the </w:t>
      </w:r>
      <w:r>
        <w:rPr>
          <w:rFonts w:cs="Calibri"/>
          <w:sz w:val="24"/>
          <w:szCs w:val="24"/>
        </w:rPr>
        <w:t xml:space="preserve">recommendations from the </w:t>
      </w:r>
      <w:r w:rsidRPr="00CC5DB1">
        <w:rPr>
          <w:rFonts w:cs="Calibri"/>
          <w:sz w:val="24"/>
          <w:szCs w:val="24"/>
        </w:rPr>
        <w:t xml:space="preserve">Australian Law Reform Commission’s report, </w:t>
      </w:r>
      <w:r w:rsidRPr="00CC5DB1">
        <w:rPr>
          <w:rFonts w:cs="Calibri"/>
          <w:i/>
          <w:sz w:val="24"/>
          <w:szCs w:val="24"/>
        </w:rPr>
        <w:t>Equality, Capacity and Disability in Commonwealth Law</w:t>
      </w:r>
    </w:p>
    <w:p w14:paraId="036E20D3" w14:textId="77777777" w:rsidR="00B606B7" w:rsidRDefault="00B606B7" w:rsidP="00B606B7">
      <w:pPr>
        <w:widowControl w:val="0"/>
        <w:tabs>
          <w:tab w:val="left" w:pos="426"/>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Theme="minorHAnsi" w:hAnsiTheme="minorHAnsi" w:cstheme="minorHAnsi"/>
          <w:sz w:val="24"/>
          <w:szCs w:val="24"/>
        </w:rPr>
      </w:pPr>
    </w:p>
    <w:p w14:paraId="2B1B9C40" w14:textId="3507E786" w:rsidR="00B82578" w:rsidRPr="004A62B0" w:rsidRDefault="004A62B0" w:rsidP="00EA779B">
      <w:pPr>
        <w:pStyle w:val="Heading2"/>
      </w:pPr>
      <w:bookmarkStart w:id="11" w:name="_Toc489183554"/>
      <w:r w:rsidRPr="004A62B0">
        <w:t>Chronic health conditions</w:t>
      </w:r>
      <w:r w:rsidR="00B606B7">
        <w:t>:</w:t>
      </w:r>
      <w:bookmarkEnd w:id="11"/>
    </w:p>
    <w:p w14:paraId="63803BD2" w14:textId="77777777" w:rsidR="001F46AB" w:rsidRDefault="001F46AB" w:rsidP="001F46AB">
      <w:pPr>
        <w:pStyle w:val="PlainText"/>
        <w:spacing w:before="120" w:after="240" w:line="259" w:lineRule="auto"/>
        <w:ind w:left="567" w:hanging="567"/>
        <w:rPr>
          <w:sz w:val="24"/>
          <w:szCs w:val="24"/>
        </w:rPr>
      </w:pPr>
      <w:r>
        <w:rPr>
          <w:sz w:val="24"/>
          <w:szCs w:val="24"/>
        </w:rPr>
        <w:t>4.5</w:t>
      </w:r>
      <w:r>
        <w:rPr>
          <w:sz w:val="24"/>
          <w:szCs w:val="24"/>
        </w:rPr>
        <w:tab/>
      </w:r>
      <w:r w:rsidR="002079C7">
        <w:rPr>
          <w:sz w:val="24"/>
          <w:szCs w:val="24"/>
        </w:rPr>
        <w:t>DPO Australia does not support the amendments in the Bill that propose a new paragraph – 24(1)(f) - be added to the end of section 24(1)</w:t>
      </w:r>
      <w:r w:rsidR="00CA20D5">
        <w:rPr>
          <w:sz w:val="24"/>
          <w:szCs w:val="24"/>
        </w:rPr>
        <w:t>.</w:t>
      </w:r>
    </w:p>
    <w:p w14:paraId="198218F9" w14:textId="0D960AF3" w:rsidR="00CA20D5" w:rsidRDefault="001F46AB" w:rsidP="001F46AB">
      <w:pPr>
        <w:pStyle w:val="PlainText"/>
        <w:spacing w:before="120" w:after="240" w:line="259" w:lineRule="auto"/>
        <w:ind w:left="567" w:hanging="567"/>
        <w:rPr>
          <w:sz w:val="24"/>
          <w:szCs w:val="24"/>
        </w:rPr>
      </w:pPr>
      <w:r>
        <w:rPr>
          <w:sz w:val="24"/>
          <w:szCs w:val="24"/>
        </w:rPr>
        <w:t>4.6</w:t>
      </w:r>
      <w:r>
        <w:rPr>
          <w:sz w:val="24"/>
          <w:szCs w:val="24"/>
        </w:rPr>
        <w:tab/>
      </w:r>
      <w:r w:rsidR="002079C7">
        <w:rPr>
          <w:sz w:val="24"/>
          <w:szCs w:val="24"/>
        </w:rPr>
        <w:t>The Explanatory Memorandum to the Bill notes that this amendment is aimed at providing “clarity on how the disability requirements are intended to operate for people with chronic health conditions</w:t>
      </w:r>
      <w:r w:rsidR="00CA20D5">
        <w:rPr>
          <w:sz w:val="24"/>
          <w:szCs w:val="24"/>
        </w:rPr>
        <w:t>.</w:t>
      </w:r>
      <w:r w:rsidR="002079C7">
        <w:rPr>
          <w:sz w:val="24"/>
          <w:szCs w:val="24"/>
        </w:rPr>
        <w:t>”</w:t>
      </w:r>
      <w:r>
        <w:rPr>
          <w:rStyle w:val="FootnoteReference"/>
          <w:sz w:val="24"/>
          <w:szCs w:val="24"/>
        </w:rPr>
        <w:footnoteReference w:id="26"/>
      </w:r>
      <w:r w:rsidR="002079C7">
        <w:rPr>
          <w:sz w:val="24"/>
          <w:szCs w:val="24"/>
        </w:rPr>
        <w:t xml:space="preserve"> </w:t>
      </w:r>
      <w:r>
        <w:rPr>
          <w:sz w:val="24"/>
          <w:szCs w:val="24"/>
        </w:rPr>
        <w:t xml:space="preserve"> </w:t>
      </w:r>
      <w:r w:rsidR="00CA20D5">
        <w:rPr>
          <w:sz w:val="24"/>
          <w:szCs w:val="24"/>
        </w:rPr>
        <w:t>The intent is to remove confusion and uncertainty when a person meets the disability requirements under section 24 of the NDIS Act, but is not eligible to receive reasonable and necessary supports under section 34(1)(f) as the supports are “most appropriately funded or provided through another universal service system.”</w:t>
      </w:r>
      <w:r>
        <w:rPr>
          <w:rStyle w:val="FootnoteReference"/>
          <w:sz w:val="24"/>
          <w:szCs w:val="24"/>
        </w:rPr>
        <w:footnoteReference w:id="27"/>
      </w:r>
      <w:r w:rsidR="00CA20D5">
        <w:rPr>
          <w:sz w:val="24"/>
          <w:szCs w:val="24"/>
        </w:rPr>
        <w:t xml:space="preserve"> </w:t>
      </w:r>
    </w:p>
    <w:p w14:paraId="66B86E51" w14:textId="476DA785" w:rsidR="00CA20D5" w:rsidRDefault="001F46AB" w:rsidP="001F46AB">
      <w:pPr>
        <w:pStyle w:val="PlainText"/>
        <w:spacing w:before="120" w:after="120" w:line="259" w:lineRule="auto"/>
        <w:ind w:left="567" w:hanging="567"/>
        <w:rPr>
          <w:sz w:val="24"/>
          <w:szCs w:val="24"/>
        </w:rPr>
      </w:pPr>
      <w:r>
        <w:rPr>
          <w:sz w:val="24"/>
          <w:szCs w:val="24"/>
        </w:rPr>
        <w:t>4.7</w:t>
      </w:r>
      <w:r>
        <w:rPr>
          <w:sz w:val="24"/>
          <w:szCs w:val="24"/>
        </w:rPr>
        <w:tab/>
      </w:r>
      <w:r w:rsidR="00CA20D5">
        <w:rPr>
          <w:sz w:val="24"/>
          <w:szCs w:val="24"/>
        </w:rPr>
        <w:t>This amendment should not be accepted for the following reasons:</w:t>
      </w:r>
    </w:p>
    <w:p w14:paraId="673BA123" w14:textId="5AFA8AFD" w:rsidR="001D7797" w:rsidRDefault="00CA20D5" w:rsidP="001F46AB">
      <w:pPr>
        <w:pStyle w:val="PlainText"/>
        <w:numPr>
          <w:ilvl w:val="0"/>
          <w:numId w:val="17"/>
        </w:numPr>
        <w:spacing w:before="120" w:after="120" w:line="259" w:lineRule="auto"/>
        <w:ind w:left="851" w:hanging="284"/>
        <w:rPr>
          <w:sz w:val="24"/>
          <w:szCs w:val="24"/>
        </w:rPr>
      </w:pPr>
      <w:r>
        <w:rPr>
          <w:sz w:val="24"/>
          <w:szCs w:val="24"/>
        </w:rPr>
        <w:t xml:space="preserve">Eligibility for the NDIS </w:t>
      </w:r>
      <w:r w:rsidR="001D7797">
        <w:rPr>
          <w:sz w:val="24"/>
          <w:szCs w:val="24"/>
        </w:rPr>
        <w:t xml:space="preserve">depends on whether a person meets the disability requirement, </w:t>
      </w:r>
      <w:r w:rsidR="00B8062C">
        <w:rPr>
          <w:sz w:val="24"/>
          <w:szCs w:val="24"/>
        </w:rPr>
        <w:t xml:space="preserve">followed by </w:t>
      </w:r>
      <w:r w:rsidR="001D7797">
        <w:rPr>
          <w:sz w:val="24"/>
          <w:szCs w:val="24"/>
        </w:rPr>
        <w:t xml:space="preserve">a determination of whether the person is eligible to receive reasonable and necessary supports through the NDIS.  The proposed amendment means that the determination of whether a person meets the disability requirement is dependent on whether the NDIS can provide reasonable or necessary supports, or whether those supports should be provided through another service system, such as health.  </w:t>
      </w:r>
      <w:r w:rsidR="00B8062C">
        <w:rPr>
          <w:sz w:val="24"/>
          <w:szCs w:val="24"/>
        </w:rPr>
        <w:t>This creates the risk of ruling out groups of people with disability</w:t>
      </w:r>
      <w:r w:rsidR="0009454F">
        <w:rPr>
          <w:sz w:val="24"/>
          <w:szCs w:val="24"/>
        </w:rPr>
        <w:t>, such as those with chronic health conditions</w:t>
      </w:r>
      <w:r w:rsidR="00B8062C">
        <w:rPr>
          <w:sz w:val="24"/>
          <w:szCs w:val="24"/>
        </w:rPr>
        <w:t xml:space="preserve"> from the NDIS based on decisions regarding whether the NDIS can fund supports for people with disability.  This is </w:t>
      </w:r>
      <w:r w:rsidR="001F46AB">
        <w:rPr>
          <w:sz w:val="24"/>
          <w:szCs w:val="24"/>
        </w:rPr>
        <w:t xml:space="preserve">contrary </w:t>
      </w:r>
      <w:r w:rsidR="00B8062C">
        <w:rPr>
          <w:sz w:val="24"/>
          <w:szCs w:val="24"/>
        </w:rPr>
        <w:t>to the object and principles of the NDIS</w:t>
      </w:r>
      <w:r w:rsidR="001F46AB">
        <w:rPr>
          <w:sz w:val="24"/>
          <w:szCs w:val="24"/>
        </w:rPr>
        <w:t xml:space="preserve"> and is not supported</w:t>
      </w:r>
      <w:r w:rsidR="00B8062C">
        <w:rPr>
          <w:sz w:val="24"/>
          <w:szCs w:val="24"/>
        </w:rPr>
        <w:t xml:space="preserve">. </w:t>
      </w:r>
    </w:p>
    <w:p w14:paraId="6AED935E" w14:textId="19F27193" w:rsidR="00F90FDB" w:rsidRDefault="00B8062C" w:rsidP="001F46AB">
      <w:pPr>
        <w:pStyle w:val="PlainText"/>
        <w:numPr>
          <w:ilvl w:val="0"/>
          <w:numId w:val="17"/>
        </w:numPr>
        <w:spacing w:before="120" w:after="240" w:line="259" w:lineRule="auto"/>
        <w:ind w:left="851" w:hanging="284"/>
        <w:rPr>
          <w:sz w:val="24"/>
          <w:szCs w:val="24"/>
        </w:rPr>
      </w:pPr>
      <w:r>
        <w:rPr>
          <w:sz w:val="24"/>
          <w:szCs w:val="24"/>
        </w:rPr>
        <w:t xml:space="preserve">The confusion and uncertainty regarding eligibility and the provision of reasonable and necessary supports through the NDIS or other service systems is apparent at the policy and practice level of the NDIS. Issues are consistently raised with DPO Australia regarding the determinations of eligibility and the interface with other service systems, the impact </w:t>
      </w:r>
      <w:r>
        <w:rPr>
          <w:sz w:val="24"/>
          <w:szCs w:val="24"/>
        </w:rPr>
        <w:lastRenderedPageBreak/>
        <w:t xml:space="preserve">of the transfer of services from State and Territory jurisdictions to the NDIS and the consequent misunderstandings about which service systems have responsibility and the lack of clarity regarding eligibility and </w:t>
      </w:r>
      <w:r w:rsidR="00F90FDB">
        <w:rPr>
          <w:sz w:val="24"/>
          <w:szCs w:val="24"/>
        </w:rPr>
        <w:t xml:space="preserve">appropriate </w:t>
      </w:r>
      <w:r w:rsidR="001F46AB">
        <w:rPr>
          <w:sz w:val="24"/>
          <w:szCs w:val="24"/>
        </w:rPr>
        <w:t>service system for the provision</w:t>
      </w:r>
      <w:r w:rsidR="00F90FDB">
        <w:rPr>
          <w:sz w:val="24"/>
          <w:szCs w:val="24"/>
        </w:rPr>
        <w:t xml:space="preserve"> of supports for </w:t>
      </w:r>
      <w:r>
        <w:rPr>
          <w:sz w:val="24"/>
          <w:szCs w:val="24"/>
        </w:rPr>
        <w:t>people with</w:t>
      </w:r>
      <w:r w:rsidR="00FE49DF">
        <w:rPr>
          <w:sz w:val="24"/>
          <w:szCs w:val="24"/>
        </w:rPr>
        <w:t xml:space="preserve"> dual or multiple impairments.</w:t>
      </w:r>
      <w:r w:rsidR="001F46AB">
        <w:rPr>
          <w:rStyle w:val="FootnoteReference"/>
          <w:sz w:val="24"/>
          <w:szCs w:val="24"/>
        </w:rPr>
        <w:footnoteReference w:id="28"/>
      </w:r>
      <w:r w:rsidR="001F46AB">
        <w:rPr>
          <w:sz w:val="24"/>
          <w:szCs w:val="24"/>
        </w:rPr>
        <w:t xml:space="preserve"> However, t</w:t>
      </w:r>
      <w:r w:rsidR="00FE49DF">
        <w:rPr>
          <w:sz w:val="24"/>
          <w:szCs w:val="24"/>
        </w:rPr>
        <w:t xml:space="preserve">his confusion is more appropriately dealt with through clearer guidance </w:t>
      </w:r>
      <w:r w:rsidR="001F46AB">
        <w:rPr>
          <w:sz w:val="24"/>
          <w:szCs w:val="24"/>
        </w:rPr>
        <w:t xml:space="preserve">to </w:t>
      </w:r>
      <w:r w:rsidR="00FE49DF">
        <w:rPr>
          <w:sz w:val="24"/>
          <w:szCs w:val="24"/>
        </w:rPr>
        <w:t>NDIA to staff</w:t>
      </w:r>
      <w:r w:rsidR="0009454F">
        <w:rPr>
          <w:sz w:val="24"/>
          <w:szCs w:val="24"/>
        </w:rPr>
        <w:t xml:space="preserve">, people with disability and the community, </w:t>
      </w:r>
      <w:r w:rsidR="00FE49DF">
        <w:rPr>
          <w:sz w:val="24"/>
          <w:szCs w:val="24"/>
        </w:rPr>
        <w:t xml:space="preserve">and greater transparency and accountability for transfer of services to the NDIS by States and Territories.  </w:t>
      </w:r>
    </w:p>
    <w:p w14:paraId="3D0710B5" w14:textId="177C80D2" w:rsidR="00A1753E" w:rsidRDefault="00F67267" w:rsidP="00F67267">
      <w:pPr>
        <w:pStyle w:val="PlainText"/>
        <w:spacing w:before="120" w:after="240" w:line="259" w:lineRule="auto"/>
        <w:ind w:left="567" w:hanging="567"/>
        <w:rPr>
          <w:sz w:val="24"/>
          <w:szCs w:val="24"/>
        </w:rPr>
      </w:pPr>
      <w:r>
        <w:rPr>
          <w:sz w:val="24"/>
          <w:szCs w:val="24"/>
        </w:rPr>
        <w:t>4.8</w:t>
      </w:r>
      <w:r>
        <w:rPr>
          <w:sz w:val="24"/>
          <w:szCs w:val="24"/>
        </w:rPr>
        <w:tab/>
      </w:r>
      <w:r w:rsidR="00FE49DF">
        <w:rPr>
          <w:sz w:val="24"/>
          <w:szCs w:val="24"/>
        </w:rPr>
        <w:t xml:space="preserve">In this context, and given the NDIS is still not fully implemented, DPO Australia argues that concerted consideration of these issues needs to be undertaken with people with disability and their representative and advocacy organisations before any amendments </w:t>
      </w:r>
      <w:r w:rsidR="00A1753E">
        <w:rPr>
          <w:sz w:val="24"/>
          <w:szCs w:val="24"/>
        </w:rPr>
        <w:t>are proposed to NDIS eligibility.</w:t>
      </w:r>
      <w:r w:rsidR="0009454F">
        <w:rPr>
          <w:sz w:val="24"/>
          <w:szCs w:val="24"/>
        </w:rPr>
        <w:t xml:space="preserve">  </w:t>
      </w:r>
    </w:p>
    <w:p w14:paraId="79119CDA" w14:textId="1223991D" w:rsidR="00A1753E" w:rsidRDefault="00F67267" w:rsidP="00F67267">
      <w:pPr>
        <w:pStyle w:val="PlainText"/>
        <w:spacing w:before="120" w:after="240" w:line="259" w:lineRule="auto"/>
        <w:ind w:left="567" w:hanging="567"/>
        <w:rPr>
          <w:sz w:val="24"/>
          <w:szCs w:val="24"/>
        </w:rPr>
      </w:pPr>
      <w:r>
        <w:rPr>
          <w:sz w:val="24"/>
          <w:szCs w:val="24"/>
        </w:rPr>
        <w:t>4.9</w:t>
      </w:r>
      <w:r>
        <w:rPr>
          <w:sz w:val="24"/>
          <w:szCs w:val="24"/>
        </w:rPr>
        <w:tab/>
      </w:r>
      <w:r w:rsidR="00A1753E">
        <w:rPr>
          <w:sz w:val="24"/>
          <w:szCs w:val="24"/>
        </w:rPr>
        <w:t>DPO Australia also notes that the Productivity Commission Review of NDIS Costs has examined NDIS boundaries and servi</w:t>
      </w:r>
      <w:r w:rsidR="0009454F">
        <w:rPr>
          <w:sz w:val="24"/>
          <w:szCs w:val="24"/>
        </w:rPr>
        <w:t xml:space="preserve">ce system interface issues, and made initial recommendations to address this.  </w:t>
      </w:r>
      <w:proofErr w:type="gramStart"/>
      <w:r w:rsidR="00A1753E">
        <w:rPr>
          <w:sz w:val="24"/>
          <w:szCs w:val="24"/>
        </w:rPr>
        <w:t>it</w:t>
      </w:r>
      <w:proofErr w:type="gramEnd"/>
      <w:r w:rsidR="00A1753E">
        <w:rPr>
          <w:sz w:val="24"/>
          <w:szCs w:val="24"/>
        </w:rPr>
        <w:t xml:space="preserve"> is important that the fin</w:t>
      </w:r>
      <w:r w:rsidR="0009454F">
        <w:rPr>
          <w:sz w:val="24"/>
          <w:szCs w:val="24"/>
        </w:rPr>
        <w:t xml:space="preserve">al findings and recommendations from the Productivity Commission, due in September 2017, </w:t>
      </w:r>
      <w:r w:rsidR="00A1753E">
        <w:rPr>
          <w:sz w:val="24"/>
          <w:szCs w:val="24"/>
        </w:rPr>
        <w:t xml:space="preserve">inform solutions to any confusion regarding eligibility </w:t>
      </w:r>
      <w:r w:rsidR="0009454F">
        <w:rPr>
          <w:sz w:val="24"/>
          <w:szCs w:val="24"/>
        </w:rPr>
        <w:t>rather than amend the NDIS Act now.</w:t>
      </w:r>
      <w:r w:rsidR="00A1753E">
        <w:rPr>
          <w:sz w:val="24"/>
          <w:szCs w:val="24"/>
        </w:rPr>
        <w:t xml:space="preserve"> </w:t>
      </w:r>
    </w:p>
    <w:p w14:paraId="3270359A" w14:textId="77777777" w:rsidR="002A5EBB" w:rsidRPr="00AC0EE2" w:rsidRDefault="002A5EBB" w:rsidP="00AC0EE2">
      <w:pPr>
        <w:spacing w:after="120"/>
        <w:ind w:left="567" w:hanging="567"/>
        <w:rPr>
          <w:rFonts w:cs="Calibri"/>
          <w:b/>
          <w:i/>
          <w:sz w:val="24"/>
          <w:szCs w:val="24"/>
        </w:rPr>
      </w:pPr>
      <w:r w:rsidRPr="00AC0EE2">
        <w:rPr>
          <w:rFonts w:cs="Calibri"/>
          <w:b/>
          <w:i/>
          <w:sz w:val="24"/>
          <w:szCs w:val="24"/>
        </w:rPr>
        <w:t xml:space="preserve">Recommendation: </w:t>
      </w:r>
    </w:p>
    <w:p w14:paraId="15C5232C" w14:textId="51A848D7" w:rsidR="002A5EBB" w:rsidRPr="00F676F3" w:rsidRDefault="00F676F3" w:rsidP="00F50EA6">
      <w:pPr>
        <w:pStyle w:val="ListParagraph"/>
        <w:numPr>
          <w:ilvl w:val="0"/>
          <w:numId w:val="21"/>
        </w:numPr>
        <w:spacing w:after="0"/>
        <w:ind w:left="714" w:hanging="357"/>
        <w:contextualSpacing w:val="0"/>
        <w:rPr>
          <w:sz w:val="24"/>
          <w:szCs w:val="24"/>
        </w:rPr>
      </w:pPr>
      <w:r>
        <w:rPr>
          <w:sz w:val="24"/>
          <w:szCs w:val="24"/>
        </w:rPr>
        <w:t xml:space="preserve">Section 24(1) should not be amended to include the additional </w:t>
      </w:r>
      <w:proofErr w:type="spellStart"/>
      <w:r>
        <w:rPr>
          <w:sz w:val="24"/>
          <w:szCs w:val="24"/>
        </w:rPr>
        <w:t>paragragh</w:t>
      </w:r>
      <w:proofErr w:type="spellEnd"/>
      <w:r>
        <w:rPr>
          <w:sz w:val="24"/>
          <w:szCs w:val="24"/>
        </w:rPr>
        <w:t xml:space="preserve"> 24(1)(f) as set out in the Bill. </w:t>
      </w:r>
    </w:p>
    <w:p w14:paraId="46E31ABD" w14:textId="77777777" w:rsidR="002A5EBB" w:rsidRDefault="002A5EBB" w:rsidP="002A5EBB">
      <w:pPr>
        <w:spacing w:after="120"/>
        <w:rPr>
          <w:sz w:val="24"/>
          <w:szCs w:val="24"/>
        </w:rPr>
      </w:pPr>
    </w:p>
    <w:p w14:paraId="76B30D80" w14:textId="07FD12C7" w:rsidR="00884CFF" w:rsidRPr="004A62B0" w:rsidRDefault="00FC4061" w:rsidP="00F50EA6">
      <w:pPr>
        <w:pStyle w:val="Heading2"/>
      </w:pPr>
      <w:bookmarkStart w:id="12" w:name="_Toc489183555"/>
      <w:r>
        <w:t>Centrality of people with disability and co-design</w:t>
      </w:r>
      <w:r w:rsidR="00F50EA6">
        <w:t>:</w:t>
      </w:r>
      <w:bookmarkEnd w:id="12"/>
    </w:p>
    <w:p w14:paraId="4F18EDFE" w14:textId="4F305C4A" w:rsidR="00FC4061" w:rsidRDefault="007A05FC" w:rsidP="007A05FC">
      <w:pPr>
        <w:pStyle w:val="PlainText"/>
        <w:spacing w:before="120" w:after="240" w:line="259" w:lineRule="auto"/>
        <w:ind w:left="567" w:hanging="567"/>
        <w:rPr>
          <w:sz w:val="24"/>
          <w:szCs w:val="24"/>
        </w:rPr>
      </w:pPr>
      <w:r>
        <w:rPr>
          <w:sz w:val="24"/>
          <w:szCs w:val="24"/>
        </w:rPr>
        <w:t>4.10</w:t>
      </w:r>
      <w:r>
        <w:rPr>
          <w:sz w:val="24"/>
          <w:szCs w:val="24"/>
        </w:rPr>
        <w:tab/>
      </w:r>
      <w:r w:rsidR="00FC4061">
        <w:rPr>
          <w:sz w:val="24"/>
          <w:szCs w:val="24"/>
        </w:rPr>
        <w:t>DPO Australia supports the intent of the amendments in the Bill to insert, after section 4(9), a new section</w:t>
      </w:r>
      <w:r w:rsidR="00263B17">
        <w:rPr>
          <w:sz w:val="24"/>
          <w:szCs w:val="24"/>
        </w:rPr>
        <w:t xml:space="preserve"> 4(9A)</w:t>
      </w:r>
      <w:r w:rsidR="00FC4061">
        <w:rPr>
          <w:sz w:val="24"/>
          <w:szCs w:val="24"/>
        </w:rPr>
        <w:t xml:space="preserve">: “People with disability are central to the National Disability Insurance Scheme and should be included in a co-design capacity”.  </w:t>
      </w:r>
    </w:p>
    <w:p w14:paraId="61C88AD5" w14:textId="1D52237D" w:rsidR="00FC4061" w:rsidRDefault="007A05FC" w:rsidP="007A05FC">
      <w:pPr>
        <w:pStyle w:val="PlainText"/>
        <w:spacing w:before="120" w:after="120" w:line="259" w:lineRule="auto"/>
        <w:ind w:left="567" w:hanging="567"/>
        <w:rPr>
          <w:sz w:val="24"/>
          <w:szCs w:val="24"/>
        </w:rPr>
      </w:pPr>
      <w:r>
        <w:rPr>
          <w:sz w:val="24"/>
          <w:szCs w:val="24"/>
        </w:rPr>
        <w:t>4.11</w:t>
      </w:r>
      <w:r>
        <w:rPr>
          <w:sz w:val="24"/>
          <w:szCs w:val="24"/>
        </w:rPr>
        <w:tab/>
      </w:r>
      <w:r w:rsidR="00FC4061">
        <w:rPr>
          <w:sz w:val="24"/>
          <w:szCs w:val="24"/>
        </w:rPr>
        <w:t xml:space="preserve">We note that this intent reflects the NDIS Civil Society Statement </w:t>
      </w:r>
      <w:r w:rsidR="00263B17">
        <w:rPr>
          <w:sz w:val="24"/>
          <w:szCs w:val="24"/>
        </w:rPr>
        <w:t xml:space="preserve">to COAG and the National Disability Insurance Agency (NDIA), </w:t>
      </w:r>
      <w:r w:rsidR="00263B17" w:rsidRPr="00263B17">
        <w:rPr>
          <w:i/>
          <w:sz w:val="24"/>
          <w:szCs w:val="24"/>
        </w:rPr>
        <w:t>Call for stronger engagement with people with disability in the NDIS.</w:t>
      </w:r>
      <w:r w:rsidR="00263B17">
        <w:rPr>
          <w:rStyle w:val="FootnoteReference"/>
          <w:i/>
          <w:sz w:val="24"/>
          <w:szCs w:val="24"/>
        </w:rPr>
        <w:footnoteReference w:id="29"/>
      </w:r>
      <w:r w:rsidR="00263B17">
        <w:rPr>
          <w:sz w:val="24"/>
          <w:szCs w:val="24"/>
        </w:rPr>
        <w:t xml:space="preserve"> This Statement specifically seeks implementation of mechanisms that genuinely engage people with disability, noting that:</w:t>
      </w:r>
    </w:p>
    <w:p w14:paraId="0B3FB243" w14:textId="3EF17874" w:rsidR="00263B17" w:rsidRDefault="00263B17" w:rsidP="007A05FC">
      <w:pPr>
        <w:pStyle w:val="PlainText"/>
        <w:spacing w:before="120" w:after="240" w:line="259" w:lineRule="auto"/>
        <w:ind w:left="851" w:right="560"/>
        <w:rPr>
          <w:sz w:val="24"/>
          <w:szCs w:val="24"/>
        </w:rPr>
      </w:pPr>
      <w:r>
        <w:rPr>
          <w:sz w:val="24"/>
          <w:szCs w:val="24"/>
        </w:rPr>
        <w:t>“Co-design is a founding and integral concept of the NDIS – people with disability need to be integral to every stage of the design, implementation and evaluation of the NDIS</w:t>
      </w:r>
      <w:r w:rsidR="009B4089">
        <w:rPr>
          <w:sz w:val="24"/>
          <w:szCs w:val="24"/>
        </w:rPr>
        <w:t>.</w:t>
      </w:r>
      <w:r>
        <w:rPr>
          <w:sz w:val="24"/>
          <w:szCs w:val="24"/>
        </w:rPr>
        <w:t>”</w:t>
      </w:r>
      <w:r w:rsidR="009B4089">
        <w:rPr>
          <w:rStyle w:val="FootnoteReference"/>
          <w:sz w:val="24"/>
          <w:szCs w:val="24"/>
        </w:rPr>
        <w:footnoteReference w:id="30"/>
      </w:r>
    </w:p>
    <w:p w14:paraId="69277C85" w14:textId="77777777" w:rsidR="007A05FC" w:rsidRDefault="007A05FC" w:rsidP="007A05FC">
      <w:pPr>
        <w:pStyle w:val="PlainText"/>
        <w:spacing w:before="120" w:after="240" w:line="259" w:lineRule="auto"/>
        <w:ind w:left="567" w:hanging="567"/>
        <w:rPr>
          <w:sz w:val="24"/>
          <w:szCs w:val="24"/>
        </w:rPr>
      </w:pPr>
      <w:r>
        <w:rPr>
          <w:sz w:val="24"/>
          <w:szCs w:val="24"/>
        </w:rPr>
        <w:t>4.12</w:t>
      </w:r>
      <w:r>
        <w:rPr>
          <w:sz w:val="24"/>
          <w:szCs w:val="24"/>
        </w:rPr>
        <w:tab/>
      </w:r>
      <w:r w:rsidR="009B4089">
        <w:rPr>
          <w:sz w:val="24"/>
          <w:szCs w:val="24"/>
        </w:rPr>
        <w:t>While the amendment explicitly recognises the centrality of people with disability, and co-design as the methodology</w:t>
      </w:r>
      <w:r w:rsidR="009B4089" w:rsidRPr="009B4089">
        <w:rPr>
          <w:sz w:val="24"/>
          <w:szCs w:val="24"/>
        </w:rPr>
        <w:t xml:space="preserve"> </w:t>
      </w:r>
      <w:r w:rsidR="009B4089">
        <w:rPr>
          <w:sz w:val="24"/>
          <w:szCs w:val="24"/>
        </w:rPr>
        <w:t xml:space="preserve">for NDIS inclusion, this amendment will only have practical effect </w:t>
      </w:r>
      <w:r w:rsidR="009B4089">
        <w:rPr>
          <w:sz w:val="24"/>
          <w:szCs w:val="24"/>
        </w:rPr>
        <w:lastRenderedPageBreak/>
        <w:t xml:space="preserve">if it is supported by policy and guidelines that genuinely articulate what co-design means, and that are </w:t>
      </w:r>
      <w:r w:rsidR="00F50EA6">
        <w:rPr>
          <w:sz w:val="24"/>
          <w:szCs w:val="24"/>
        </w:rPr>
        <w:t xml:space="preserve">developed and </w:t>
      </w:r>
      <w:r w:rsidR="009B4089">
        <w:rPr>
          <w:sz w:val="24"/>
          <w:szCs w:val="24"/>
        </w:rPr>
        <w:t xml:space="preserve">agreed between people with disability and the NDIA and governments. </w:t>
      </w:r>
    </w:p>
    <w:p w14:paraId="5FD493C4" w14:textId="2AE0E0AC" w:rsidR="009B4089" w:rsidRDefault="007A05FC" w:rsidP="007A05FC">
      <w:pPr>
        <w:pStyle w:val="PlainText"/>
        <w:spacing w:before="120" w:after="240" w:line="259" w:lineRule="auto"/>
        <w:ind w:left="567" w:hanging="567"/>
        <w:rPr>
          <w:sz w:val="24"/>
          <w:szCs w:val="24"/>
        </w:rPr>
      </w:pPr>
      <w:r>
        <w:rPr>
          <w:sz w:val="24"/>
          <w:szCs w:val="24"/>
        </w:rPr>
        <w:t>4.13</w:t>
      </w:r>
      <w:r>
        <w:rPr>
          <w:sz w:val="24"/>
          <w:szCs w:val="24"/>
        </w:rPr>
        <w:tab/>
      </w:r>
      <w:r w:rsidR="009B4089">
        <w:rPr>
          <w:sz w:val="24"/>
          <w:szCs w:val="24"/>
        </w:rPr>
        <w:t xml:space="preserve">There is currently no agreed policy on </w:t>
      </w:r>
      <w:r w:rsidR="007C7B0E">
        <w:rPr>
          <w:sz w:val="24"/>
          <w:szCs w:val="24"/>
        </w:rPr>
        <w:t>co-design principles, processes and</w:t>
      </w:r>
      <w:r w:rsidR="009B4089">
        <w:rPr>
          <w:sz w:val="24"/>
          <w:szCs w:val="24"/>
        </w:rPr>
        <w:t xml:space="preserve"> implementation, and in many situations, the word ‘co-design’ is merely replacing the traditional methods of engagement with people with disability – consultation </w:t>
      </w:r>
      <w:r w:rsidR="007C7B0E">
        <w:rPr>
          <w:sz w:val="24"/>
          <w:szCs w:val="24"/>
        </w:rPr>
        <w:t xml:space="preserve">forums, </w:t>
      </w:r>
      <w:r w:rsidR="009B4089">
        <w:rPr>
          <w:sz w:val="24"/>
          <w:szCs w:val="24"/>
        </w:rPr>
        <w:t>reference groups, workshops, meeti</w:t>
      </w:r>
      <w:r w:rsidR="007C7B0E">
        <w:rPr>
          <w:sz w:val="24"/>
          <w:szCs w:val="24"/>
        </w:rPr>
        <w:t xml:space="preserve">ngs, submission processes etc.  </w:t>
      </w:r>
      <w:r w:rsidR="007C7B0E" w:rsidRPr="004A62B0">
        <w:rPr>
          <w:sz w:val="24"/>
          <w:szCs w:val="24"/>
        </w:rPr>
        <w:t>This is not co</w:t>
      </w:r>
      <w:r w:rsidR="007C7B0E">
        <w:rPr>
          <w:sz w:val="24"/>
          <w:szCs w:val="24"/>
        </w:rPr>
        <w:t>-</w:t>
      </w:r>
      <w:r w:rsidR="007C7B0E" w:rsidRPr="004A62B0">
        <w:rPr>
          <w:sz w:val="24"/>
          <w:szCs w:val="24"/>
        </w:rPr>
        <w:t>design</w:t>
      </w:r>
      <w:r w:rsidR="007C7B0E">
        <w:rPr>
          <w:sz w:val="24"/>
          <w:szCs w:val="24"/>
        </w:rPr>
        <w:t xml:space="preserve">, </w:t>
      </w:r>
      <w:r w:rsidR="007C7B0E" w:rsidRPr="004A62B0">
        <w:rPr>
          <w:sz w:val="24"/>
          <w:szCs w:val="24"/>
        </w:rPr>
        <w:t xml:space="preserve">and without an agreed policy </w:t>
      </w:r>
      <w:r w:rsidR="007C7B0E">
        <w:rPr>
          <w:sz w:val="24"/>
          <w:szCs w:val="24"/>
        </w:rPr>
        <w:t>and protocols, this amendment will likely only result in</w:t>
      </w:r>
      <w:r w:rsidR="007C7B0E" w:rsidRPr="004A62B0">
        <w:rPr>
          <w:sz w:val="24"/>
          <w:szCs w:val="24"/>
        </w:rPr>
        <w:t xml:space="preserve"> tokenism.</w:t>
      </w:r>
    </w:p>
    <w:p w14:paraId="1D94B130" w14:textId="77777777" w:rsidR="007A05FC" w:rsidRPr="00AC0EE2" w:rsidRDefault="007A05FC" w:rsidP="00AC0EE2">
      <w:pPr>
        <w:spacing w:after="120"/>
        <w:ind w:left="567" w:hanging="567"/>
        <w:rPr>
          <w:rFonts w:cs="Calibri"/>
          <w:b/>
          <w:i/>
          <w:sz w:val="24"/>
          <w:szCs w:val="24"/>
        </w:rPr>
      </w:pPr>
      <w:r w:rsidRPr="00AC0EE2">
        <w:rPr>
          <w:rFonts w:cs="Calibri"/>
          <w:b/>
          <w:i/>
          <w:sz w:val="24"/>
          <w:szCs w:val="24"/>
        </w:rPr>
        <w:t xml:space="preserve">Recommendation: </w:t>
      </w:r>
    </w:p>
    <w:p w14:paraId="5088FCD2" w14:textId="3072CE67" w:rsidR="004A62B0" w:rsidRDefault="005C768F" w:rsidP="00EA779B">
      <w:pPr>
        <w:pStyle w:val="PlainText"/>
        <w:numPr>
          <w:ilvl w:val="0"/>
          <w:numId w:val="21"/>
        </w:numPr>
        <w:spacing w:before="120" w:line="259" w:lineRule="auto"/>
        <w:ind w:left="714" w:hanging="357"/>
        <w:rPr>
          <w:sz w:val="24"/>
          <w:szCs w:val="24"/>
        </w:rPr>
      </w:pPr>
      <w:r>
        <w:rPr>
          <w:sz w:val="24"/>
          <w:szCs w:val="24"/>
        </w:rPr>
        <w:t>Implementation of section 4(9A) in the Bill should be supported by a nationally, consistent co-design policy and guidelines that are developed and agreed with people with disability and their representative organisations.</w:t>
      </w:r>
      <w:r w:rsidR="00E14E78">
        <w:rPr>
          <w:sz w:val="24"/>
          <w:szCs w:val="24"/>
        </w:rPr>
        <w:t xml:space="preserve"> </w:t>
      </w:r>
    </w:p>
    <w:p w14:paraId="57BDCA18" w14:textId="77777777" w:rsidR="00EA779B" w:rsidRDefault="00EA779B" w:rsidP="00EA779B">
      <w:pPr>
        <w:pStyle w:val="PlainText"/>
        <w:spacing w:before="120" w:line="259" w:lineRule="auto"/>
        <w:ind w:left="357"/>
        <w:rPr>
          <w:sz w:val="24"/>
          <w:szCs w:val="24"/>
        </w:rPr>
      </w:pPr>
    </w:p>
    <w:p w14:paraId="4FE6ED83" w14:textId="2B708B19" w:rsidR="00E10BD3" w:rsidRPr="00CF042E" w:rsidRDefault="00CF042E" w:rsidP="00EA779B">
      <w:pPr>
        <w:pStyle w:val="Heading2"/>
      </w:pPr>
      <w:bookmarkStart w:id="13" w:name="_Toc489183556"/>
      <w:r w:rsidRPr="00CF042E">
        <w:t>Intersectionality</w:t>
      </w:r>
      <w:r w:rsidR="00EA779B">
        <w:t>:</w:t>
      </w:r>
      <w:bookmarkEnd w:id="13"/>
    </w:p>
    <w:p w14:paraId="341CB0FF" w14:textId="0112C796" w:rsidR="007C67FA" w:rsidRDefault="00EA779B" w:rsidP="00EA779B">
      <w:pPr>
        <w:pStyle w:val="PlainText"/>
        <w:spacing w:before="120" w:after="240" w:line="259" w:lineRule="auto"/>
        <w:ind w:left="567" w:hanging="567"/>
        <w:rPr>
          <w:sz w:val="24"/>
          <w:szCs w:val="24"/>
        </w:rPr>
      </w:pPr>
      <w:r>
        <w:rPr>
          <w:sz w:val="24"/>
          <w:szCs w:val="24"/>
        </w:rPr>
        <w:t>4.14</w:t>
      </w:r>
      <w:r>
        <w:rPr>
          <w:sz w:val="24"/>
          <w:szCs w:val="24"/>
        </w:rPr>
        <w:tab/>
      </w:r>
      <w:r w:rsidR="00CF042E">
        <w:rPr>
          <w:sz w:val="24"/>
          <w:szCs w:val="24"/>
        </w:rPr>
        <w:t xml:space="preserve">DPO Australia supports </w:t>
      </w:r>
      <w:r>
        <w:rPr>
          <w:sz w:val="24"/>
          <w:szCs w:val="24"/>
        </w:rPr>
        <w:t xml:space="preserve">the intent of the </w:t>
      </w:r>
      <w:r w:rsidR="00CF042E">
        <w:rPr>
          <w:sz w:val="24"/>
          <w:szCs w:val="24"/>
        </w:rPr>
        <w:t xml:space="preserve">amendments to the NDIS Act </w:t>
      </w:r>
      <w:r>
        <w:rPr>
          <w:sz w:val="24"/>
          <w:szCs w:val="24"/>
        </w:rPr>
        <w:t>to</w:t>
      </w:r>
      <w:r w:rsidR="000B48A4">
        <w:rPr>
          <w:sz w:val="24"/>
          <w:szCs w:val="24"/>
        </w:rPr>
        <w:t xml:space="preserve"> include reference in section 5</w:t>
      </w:r>
      <w:r w:rsidRPr="00EA779B">
        <w:rPr>
          <w:sz w:val="24"/>
          <w:szCs w:val="24"/>
        </w:rPr>
        <w:t xml:space="preserve"> </w:t>
      </w:r>
      <w:r>
        <w:rPr>
          <w:sz w:val="24"/>
          <w:szCs w:val="24"/>
        </w:rPr>
        <w:t xml:space="preserve">to </w:t>
      </w:r>
      <w:r w:rsidR="000B48A4">
        <w:rPr>
          <w:sz w:val="24"/>
          <w:szCs w:val="24"/>
        </w:rPr>
        <w:t xml:space="preserve">reference </w:t>
      </w:r>
      <w:r>
        <w:rPr>
          <w:sz w:val="24"/>
          <w:szCs w:val="24"/>
        </w:rPr>
        <w:t xml:space="preserve">lesbian, gay, bisexual, transgender and intersex status.  </w:t>
      </w:r>
      <w:r w:rsidR="00B22744">
        <w:rPr>
          <w:sz w:val="24"/>
          <w:szCs w:val="24"/>
        </w:rPr>
        <w:t xml:space="preserve">However, the proposed amendment to section 5(d) in the Bill </w:t>
      </w:r>
      <w:r w:rsidR="007C67FA">
        <w:rPr>
          <w:sz w:val="24"/>
          <w:szCs w:val="24"/>
        </w:rPr>
        <w:t xml:space="preserve">is problematic and </w:t>
      </w:r>
      <w:r w:rsidR="00F05AF2">
        <w:rPr>
          <w:sz w:val="24"/>
          <w:szCs w:val="24"/>
        </w:rPr>
        <w:t xml:space="preserve">we do </w:t>
      </w:r>
      <w:r w:rsidR="007C67FA">
        <w:rPr>
          <w:sz w:val="24"/>
          <w:szCs w:val="24"/>
        </w:rPr>
        <w:t>not support</w:t>
      </w:r>
      <w:r w:rsidR="00F05AF2">
        <w:rPr>
          <w:sz w:val="24"/>
          <w:szCs w:val="24"/>
        </w:rPr>
        <w:t xml:space="preserve"> it</w:t>
      </w:r>
      <w:r w:rsidR="007C67FA">
        <w:rPr>
          <w:sz w:val="24"/>
          <w:szCs w:val="24"/>
        </w:rPr>
        <w:t xml:space="preserve"> in its current form.</w:t>
      </w:r>
    </w:p>
    <w:p w14:paraId="2E613653" w14:textId="0BC2F826" w:rsidR="00B22744" w:rsidRDefault="00EA779B" w:rsidP="00FD783D">
      <w:pPr>
        <w:pStyle w:val="PlainText"/>
        <w:spacing w:before="120" w:after="240" w:line="259" w:lineRule="auto"/>
        <w:ind w:left="567" w:hanging="567"/>
        <w:rPr>
          <w:sz w:val="24"/>
          <w:szCs w:val="24"/>
        </w:rPr>
      </w:pPr>
      <w:r>
        <w:rPr>
          <w:sz w:val="24"/>
          <w:szCs w:val="24"/>
        </w:rPr>
        <w:t>4.15</w:t>
      </w:r>
      <w:r>
        <w:rPr>
          <w:sz w:val="24"/>
          <w:szCs w:val="24"/>
        </w:rPr>
        <w:tab/>
      </w:r>
      <w:r w:rsidR="007C67FA">
        <w:rPr>
          <w:sz w:val="24"/>
          <w:szCs w:val="24"/>
        </w:rPr>
        <w:t xml:space="preserve">The amendment to section 5(d) of the Bill removes the words “and the gender” and replaces this with the words, “the gender identity, </w:t>
      </w:r>
      <w:proofErr w:type="gramStart"/>
      <w:r w:rsidR="007C67FA">
        <w:rPr>
          <w:sz w:val="24"/>
          <w:szCs w:val="24"/>
        </w:rPr>
        <w:t>sexual</w:t>
      </w:r>
      <w:proofErr w:type="gramEnd"/>
      <w:r w:rsidR="007C67FA">
        <w:rPr>
          <w:sz w:val="24"/>
          <w:szCs w:val="24"/>
        </w:rPr>
        <w:t xml:space="preserve"> orientation and internet status”.  The intent, as explained in the Explanatory Memorandum to the Bill, is “to reference lesbian, gay, bisexual, transgender and intersex status” and to provide consistency with the </w:t>
      </w:r>
      <w:r w:rsidR="007C67FA" w:rsidRPr="007C67FA">
        <w:rPr>
          <w:i/>
          <w:sz w:val="24"/>
          <w:szCs w:val="24"/>
        </w:rPr>
        <w:t>Sex Discrimination Act 1984</w:t>
      </w:r>
      <w:r w:rsidR="007C67FA">
        <w:rPr>
          <w:sz w:val="24"/>
          <w:szCs w:val="24"/>
        </w:rPr>
        <w:t xml:space="preserve"> (</w:t>
      </w:r>
      <w:proofErr w:type="spellStart"/>
      <w:r w:rsidR="007C67FA">
        <w:rPr>
          <w:sz w:val="24"/>
          <w:szCs w:val="24"/>
        </w:rPr>
        <w:t>Cth</w:t>
      </w:r>
      <w:proofErr w:type="spellEnd"/>
      <w:r w:rsidR="007C67FA">
        <w:rPr>
          <w:sz w:val="24"/>
          <w:szCs w:val="24"/>
        </w:rPr>
        <w:t>).”</w:t>
      </w:r>
      <w:r w:rsidR="00FD783D">
        <w:rPr>
          <w:rStyle w:val="FootnoteReference"/>
          <w:sz w:val="24"/>
          <w:szCs w:val="24"/>
        </w:rPr>
        <w:footnoteReference w:id="31"/>
      </w:r>
    </w:p>
    <w:p w14:paraId="277EF4D3" w14:textId="0E45E41C" w:rsidR="000B48A4" w:rsidRDefault="00FD783D" w:rsidP="000B48A4">
      <w:pPr>
        <w:pStyle w:val="PlainText"/>
        <w:spacing w:before="120" w:after="240" w:line="259" w:lineRule="auto"/>
        <w:ind w:left="567" w:hanging="567"/>
        <w:rPr>
          <w:sz w:val="24"/>
          <w:szCs w:val="24"/>
        </w:rPr>
      </w:pPr>
      <w:r>
        <w:rPr>
          <w:sz w:val="24"/>
          <w:szCs w:val="24"/>
        </w:rPr>
        <w:t>4.16</w:t>
      </w:r>
      <w:r>
        <w:rPr>
          <w:sz w:val="24"/>
          <w:szCs w:val="24"/>
        </w:rPr>
        <w:tab/>
        <w:t>I</w:t>
      </w:r>
      <w:r w:rsidR="005476C4">
        <w:rPr>
          <w:sz w:val="24"/>
          <w:szCs w:val="24"/>
        </w:rPr>
        <w:t>n removing reference to ‘gender’, the proposed amendment removes recognition of the intersection between disability and gender.  While the term ‘gender’ is not interchangeable with the term ‘women’, it “refers to socially constructed identities, attributes and roles</w:t>
      </w:r>
      <w:r w:rsidR="00F34886">
        <w:rPr>
          <w:sz w:val="24"/>
          <w:szCs w:val="24"/>
        </w:rPr>
        <w:t xml:space="preserve"> for women and men.</w:t>
      </w:r>
      <w:r w:rsidR="005476C4">
        <w:rPr>
          <w:sz w:val="24"/>
          <w:szCs w:val="24"/>
        </w:rPr>
        <w:t>”</w:t>
      </w:r>
      <w:r w:rsidR="005476C4">
        <w:rPr>
          <w:rStyle w:val="FootnoteReference"/>
          <w:sz w:val="24"/>
          <w:szCs w:val="24"/>
        </w:rPr>
        <w:footnoteReference w:id="32"/>
      </w:r>
      <w:r w:rsidR="005476C4">
        <w:rPr>
          <w:sz w:val="24"/>
          <w:szCs w:val="24"/>
        </w:rPr>
        <w:t xml:space="preserve"> </w:t>
      </w:r>
      <w:r w:rsidR="00F34886">
        <w:rPr>
          <w:sz w:val="24"/>
          <w:szCs w:val="24"/>
        </w:rPr>
        <w:t>It recognises how</w:t>
      </w:r>
      <w:r w:rsidR="005476C4">
        <w:rPr>
          <w:sz w:val="24"/>
          <w:szCs w:val="24"/>
        </w:rPr>
        <w:t xml:space="preserve"> </w:t>
      </w:r>
      <w:proofErr w:type="gramStart"/>
      <w:r w:rsidR="005476C4">
        <w:rPr>
          <w:sz w:val="24"/>
          <w:szCs w:val="24"/>
        </w:rPr>
        <w:t xml:space="preserve">disadvantage </w:t>
      </w:r>
      <w:r w:rsidR="00F05AF2">
        <w:rPr>
          <w:sz w:val="24"/>
          <w:szCs w:val="24"/>
        </w:rPr>
        <w:t xml:space="preserve">and discrimination </w:t>
      </w:r>
      <w:r w:rsidR="00F34886">
        <w:rPr>
          <w:sz w:val="24"/>
          <w:szCs w:val="24"/>
        </w:rPr>
        <w:t xml:space="preserve">is </w:t>
      </w:r>
      <w:r w:rsidR="005476C4">
        <w:rPr>
          <w:sz w:val="24"/>
          <w:szCs w:val="24"/>
        </w:rPr>
        <w:t xml:space="preserve">experienced </w:t>
      </w:r>
      <w:r w:rsidR="00F34886">
        <w:rPr>
          <w:sz w:val="24"/>
          <w:szCs w:val="24"/>
        </w:rPr>
        <w:t xml:space="preserve">differently </w:t>
      </w:r>
      <w:r w:rsidR="000B48A4">
        <w:rPr>
          <w:sz w:val="24"/>
          <w:szCs w:val="24"/>
        </w:rPr>
        <w:t>by</w:t>
      </w:r>
      <w:r w:rsidR="005476C4">
        <w:rPr>
          <w:sz w:val="24"/>
          <w:szCs w:val="24"/>
        </w:rPr>
        <w:t xml:space="preserve"> women </w:t>
      </w:r>
      <w:r w:rsidR="00F05AF2">
        <w:rPr>
          <w:sz w:val="24"/>
          <w:szCs w:val="24"/>
        </w:rPr>
        <w:t>in relation to men</w:t>
      </w:r>
      <w:proofErr w:type="gramEnd"/>
      <w:r w:rsidR="00F34886">
        <w:rPr>
          <w:sz w:val="24"/>
          <w:szCs w:val="24"/>
        </w:rPr>
        <w:t>.  This means that removal of the word</w:t>
      </w:r>
      <w:r w:rsidR="00AF7B0B">
        <w:rPr>
          <w:sz w:val="24"/>
          <w:szCs w:val="24"/>
        </w:rPr>
        <w:t xml:space="preserve"> ‘gender’</w:t>
      </w:r>
      <w:r w:rsidR="00F34886">
        <w:rPr>
          <w:sz w:val="24"/>
          <w:szCs w:val="24"/>
        </w:rPr>
        <w:t xml:space="preserve"> from section 5(d) of the Bill</w:t>
      </w:r>
      <w:r w:rsidR="00AF7B0B">
        <w:rPr>
          <w:sz w:val="24"/>
          <w:szCs w:val="24"/>
        </w:rPr>
        <w:t>, removes recognition of the specific circumstances women with disability experience because of the intersection between disability and gender.</w:t>
      </w:r>
      <w:r w:rsidR="000B48A4">
        <w:rPr>
          <w:sz w:val="24"/>
          <w:szCs w:val="24"/>
        </w:rPr>
        <w:t xml:space="preserve">  </w:t>
      </w:r>
    </w:p>
    <w:p w14:paraId="2A4CD1ED" w14:textId="60EF275A" w:rsidR="000B48A4" w:rsidRDefault="000B48A4" w:rsidP="000B48A4">
      <w:pPr>
        <w:pStyle w:val="PlainText"/>
        <w:spacing w:before="120" w:after="240" w:line="259" w:lineRule="auto"/>
        <w:ind w:left="567" w:hanging="567"/>
        <w:rPr>
          <w:sz w:val="24"/>
          <w:szCs w:val="24"/>
        </w:rPr>
      </w:pPr>
      <w:r>
        <w:rPr>
          <w:sz w:val="24"/>
          <w:szCs w:val="24"/>
        </w:rPr>
        <w:t>4.17</w:t>
      </w:r>
      <w:r>
        <w:rPr>
          <w:sz w:val="24"/>
          <w:szCs w:val="24"/>
        </w:rPr>
        <w:tab/>
        <w:t xml:space="preserve">The NDIS Act gives effect to obligations under the CRPD and CEDAW.  The CRPD specifically acknowledges the intersectional discrimination and disadvantage experienced by women with disability by the inclusion of article 6, </w:t>
      </w:r>
      <w:r w:rsidRPr="000B48A4">
        <w:rPr>
          <w:i/>
          <w:sz w:val="24"/>
          <w:szCs w:val="24"/>
        </w:rPr>
        <w:t>Women with Disabilities</w:t>
      </w:r>
      <w:r>
        <w:rPr>
          <w:sz w:val="24"/>
          <w:szCs w:val="24"/>
        </w:rPr>
        <w:t xml:space="preserve">.  This article is a cross cutting article, meaning that each </w:t>
      </w:r>
      <w:r w:rsidR="005051A6">
        <w:rPr>
          <w:sz w:val="24"/>
          <w:szCs w:val="24"/>
        </w:rPr>
        <w:t xml:space="preserve">CRPD </w:t>
      </w:r>
      <w:r>
        <w:rPr>
          <w:sz w:val="24"/>
          <w:szCs w:val="24"/>
        </w:rPr>
        <w:t xml:space="preserve">article must consider measures to </w:t>
      </w:r>
      <w:r w:rsidR="005051A6">
        <w:rPr>
          <w:sz w:val="24"/>
          <w:szCs w:val="24"/>
        </w:rPr>
        <w:t xml:space="preserve">advance the human rights of women with disability. </w:t>
      </w:r>
    </w:p>
    <w:p w14:paraId="7FACC2FE" w14:textId="5E36B273" w:rsidR="00AF7B0B" w:rsidRDefault="00F34886" w:rsidP="00F34886">
      <w:pPr>
        <w:pStyle w:val="PlainText"/>
        <w:spacing w:before="120" w:after="240" w:line="259" w:lineRule="auto"/>
        <w:ind w:left="567" w:hanging="567"/>
        <w:rPr>
          <w:sz w:val="24"/>
          <w:szCs w:val="24"/>
        </w:rPr>
      </w:pPr>
      <w:r>
        <w:rPr>
          <w:sz w:val="24"/>
          <w:szCs w:val="24"/>
        </w:rPr>
        <w:lastRenderedPageBreak/>
        <w:t>4.17</w:t>
      </w:r>
      <w:r>
        <w:rPr>
          <w:sz w:val="24"/>
          <w:szCs w:val="24"/>
        </w:rPr>
        <w:tab/>
      </w:r>
      <w:r w:rsidR="00F05AF2">
        <w:rPr>
          <w:sz w:val="24"/>
          <w:szCs w:val="24"/>
        </w:rPr>
        <w:t>The terms ‘gender’ and ‘gender identity’ are not synonymous</w:t>
      </w:r>
      <w:r w:rsidR="00AF7B0B">
        <w:rPr>
          <w:sz w:val="24"/>
          <w:szCs w:val="24"/>
        </w:rPr>
        <w:t>.</w:t>
      </w:r>
      <w:r>
        <w:rPr>
          <w:rStyle w:val="FootnoteReference"/>
          <w:sz w:val="24"/>
          <w:szCs w:val="24"/>
        </w:rPr>
        <w:footnoteReference w:id="33"/>
      </w:r>
      <w:r w:rsidR="00AF7B0B">
        <w:rPr>
          <w:sz w:val="24"/>
          <w:szCs w:val="24"/>
        </w:rPr>
        <w:t xml:space="preserve"> T</w:t>
      </w:r>
      <w:r w:rsidR="005476C4">
        <w:rPr>
          <w:sz w:val="24"/>
          <w:szCs w:val="24"/>
        </w:rPr>
        <w:t xml:space="preserve">he </w:t>
      </w:r>
      <w:r w:rsidR="005476C4" w:rsidRPr="007C67FA">
        <w:rPr>
          <w:i/>
          <w:sz w:val="24"/>
          <w:szCs w:val="24"/>
        </w:rPr>
        <w:t>Sex Discrimination Act 1984</w:t>
      </w:r>
      <w:r w:rsidR="005476C4">
        <w:rPr>
          <w:i/>
          <w:sz w:val="24"/>
          <w:szCs w:val="24"/>
        </w:rPr>
        <w:t xml:space="preserve"> </w:t>
      </w:r>
      <w:r w:rsidR="00F05AF2" w:rsidRPr="00F05AF2">
        <w:rPr>
          <w:sz w:val="24"/>
          <w:szCs w:val="24"/>
        </w:rPr>
        <w:t>gives effect to CEDAW</w:t>
      </w:r>
      <w:r w:rsidR="00F05AF2">
        <w:rPr>
          <w:sz w:val="24"/>
          <w:szCs w:val="24"/>
        </w:rPr>
        <w:t>, promotes the principle of the equality between men and women and covers “sex, sexual orientation, gender identify, intersex status…”</w:t>
      </w:r>
      <w:r w:rsidR="000B48A4">
        <w:rPr>
          <w:rStyle w:val="FootnoteReference"/>
          <w:sz w:val="24"/>
          <w:szCs w:val="24"/>
        </w:rPr>
        <w:footnoteReference w:id="34"/>
      </w:r>
      <w:r w:rsidR="00F05AF2">
        <w:rPr>
          <w:sz w:val="24"/>
          <w:szCs w:val="24"/>
        </w:rPr>
        <w:t xml:space="preserve"> </w:t>
      </w:r>
    </w:p>
    <w:p w14:paraId="6746AF62" w14:textId="474BCEC9" w:rsidR="00285601" w:rsidRDefault="000B48A4" w:rsidP="005051A6">
      <w:pPr>
        <w:pStyle w:val="PlainText"/>
        <w:spacing w:before="120" w:after="120" w:line="259" w:lineRule="auto"/>
        <w:ind w:left="567" w:hanging="567"/>
        <w:rPr>
          <w:sz w:val="24"/>
          <w:szCs w:val="24"/>
        </w:rPr>
      </w:pPr>
      <w:r>
        <w:rPr>
          <w:sz w:val="24"/>
          <w:szCs w:val="24"/>
        </w:rPr>
        <w:t>4.18</w:t>
      </w:r>
      <w:r>
        <w:rPr>
          <w:sz w:val="24"/>
          <w:szCs w:val="24"/>
        </w:rPr>
        <w:tab/>
      </w:r>
      <w:r w:rsidR="00523B2B">
        <w:rPr>
          <w:sz w:val="24"/>
          <w:szCs w:val="24"/>
        </w:rPr>
        <w:t>In addition, s</w:t>
      </w:r>
      <w:r w:rsidR="00AF7B0B">
        <w:rPr>
          <w:sz w:val="24"/>
          <w:szCs w:val="24"/>
        </w:rPr>
        <w:t xml:space="preserve">ection 5(d) </w:t>
      </w:r>
      <w:proofErr w:type="gramStart"/>
      <w:r w:rsidR="00AF7B0B">
        <w:rPr>
          <w:sz w:val="24"/>
          <w:szCs w:val="24"/>
        </w:rPr>
        <w:t>stipulates that</w:t>
      </w:r>
      <w:proofErr w:type="gramEnd"/>
      <w:r w:rsidR="00AF7B0B">
        <w:rPr>
          <w:sz w:val="24"/>
          <w:szCs w:val="24"/>
        </w:rPr>
        <w:t xml:space="preserve"> “the cultural and linguistic circumstances…of people with disability should be taken into account”.  DPO Australia supports this principle. However, we do not believe that it covers the unique circumstances of Aboriginal and Torres Strait Islander people with disability. </w:t>
      </w:r>
      <w:r w:rsidR="005051A6">
        <w:rPr>
          <w:sz w:val="24"/>
          <w:szCs w:val="24"/>
        </w:rPr>
        <w:t>The</w:t>
      </w:r>
      <w:r w:rsidR="00285601">
        <w:rPr>
          <w:sz w:val="24"/>
          <w:szCs w:val="24"/>
        </w:rPr>
        <w:t xml:space="preserve"> CRPD </w:t>
      </w:r>
      <w:r w:rsidR="005051A6">
        <w:rPr>
          <w:sz w:val="24"/>
          <w:szCs w:val="24"/>
        </w:rPr>
        <w:t xml:space="preserve">acknowledges: </w:t>
      </w:r>
    </w:p>
    <w:p w14:paraId="3C6D4C84" w14:textId="6D6F505B" w:rsidR="00285601" w:rsidRDefault="00285601" w:rsidP="005051A6">
      <w:pPr>
        <w:pStyle w:val="PlainText"/>
        <w:spacing w:before="120" w:after="240" w:line="259" w:lineRule="auto"/>
        <w:ind w:left="993" w:right="560"/>
        <w:rPr>
          <w:sz w:val="24"/>
          <w:szCs w:val="24"/>
        </w:rPr>
      </w:pPr>
      <w:r>
        <w:rPr>
          <w:sz w:val="24"/>
          <w:szCs w:val="24"/>
        </w:rPr>
        <w:t>“</w:t>
      </w:r>
      <w:proofErr w:type="gramStart"/>
      <w:r>
        <w:rPr>
          <w:sz w:val="24"/>
          <w:szCs w:val="24"/>
        </w:rPr>
        <w:t>the</w:t>
      </w:r>
      <w:proofErr w:type="gramEnd"/>
      <w:r>
        <w:rPr>
          <w:sz w:val="24"/>
          <w:szCs w:val="24"/>
        </w:rPr>
        <w:t xml:space="preserve"> difficult conditions faced by person with disabilities who are subject to multiple or aggravated forms of discrimination on the basis of race, colour, sex, language, religion, political or other opinion, national, ethnic, </w:t>
      </w:r>
      <w:r w:rsidRPr="00285601">
        <w:rPr>
          <w:b/>
          <w:i/>
          <w:sz w:val="24"/>
          <w:szCs w:val="24"/>
        </w:rPr>
        <w:t>indigenous</w:t>
      </w:r>
      <w:r>
        <w:rPr>
          <w:sz w:val="24"/>
          <w:szCs w:val="24"/>
        </w:rPr>
        <w:t xml:space="preserve"> or social origin, property, birth, age or other status” (emphasis added).</w:t>
      </w:r>
      <w:r w:rsidR="005051A6">
        <w:rPr>
          <w:rStyle w:val="FootnoteReference"/>
          <w:sz w:val="24"/>
          <w:szCs w:val="24"/>
        </w:rPr>
        <w:footnoteReference w:id="35"/>
      </w:r>
    </w:p>
    <w:p w14:paraId="21ADCAE4" w14:textId="70FED3D6" w:rsidR="00285601" w:rsidRDefault="00C228E2" w:rsidP="00C228E2">
      <w:pPr>
        <w:pStyle w:val="PlainText"/>
        <w:spacing w:before="120" w:after="240" w:line="259" w:lineRule="auto"/>
        <w:ind w:left="567" w:hanging="567"/>
        <w:rPr>
          <w:sz w:val="24"/>
          <w:szCs w:val="24"/>
        </w:rPr>
      </w:pPr>
      <w:r>
        <w:rPr>
          <w:sz w:val="24"/>
          <w:szCs w:val="24"/>
        </w:rPr>
        <w:t>4.19</w:t>
      </w:r>
      <w:r>
        <w:rPr>
          <w:sz w:val="24"/>
          <w:szCs w:val="24"/>
        </w:rPr>
        <w:tab/>
        <w:t xml:space="preserve">To give genuine effect to CRPD recognition of the situations experienced by Indigenous peoples, </w:t>
      </w:r>
      <w:r w:rsidR="00285601">
        <w:rPr>
          <w:sz w:val="24"/>
          <w:szCs w:val="24"/>
        </w:rPr>
        <w:t>DPO Australia supports a specific principle regarding Aboriginal and Torres Strait Islander people with disability.</w:t>
      </w:r>
    </w:p>
    <w:p w14:paraId="2B3E9371" w14:textId="2F73C7E3" w:rsidR="00741AE9" w:rsidRPr="00741AE9" w:rsidRDefault="00741AE9" w:rsidP="00AC0EE2">
      <w:pPr>
        <w:pStyle w:val="PlainText"/>
        <w:spacing w:before="120" w:after="120"/>
        <w:rPr>
          <w:b/>
          <w:i/>
          <w:color w:val="000000"/>
        </w:rPr>
      </w:pPr>
      <w:r w:rsidRPr="00741AE9">
        <w:rPr>
          <w:b/>
          <w:i/>
          <w:color w:val="000000"/>
        </w:rPr>
        <w:t>Recommendation</w:t>
      </w:r>
      <w:r>
        <w:rPr>
          <w:b/>
          <w:i/>
          <w:color w:val="000000"/>
        </w:rPr>
        <w:t>s</w:t>
      </w:r>
      <w:r w:rsidRPr="00741AE9">
        <w:rPr>
          <w:b/>
          <w:i/>
          <w:color w:val="000000"/>
        </w:rPr>
        <w:t xml:space="preserve">: </w:t>
      </w:r>
    </w:p>
    <w:p w14:paraId="38DBBC43" w14:textId="567D8E88" w:rsidR="00741AE9" w:rsidRDefault="007717CC" w:rsidP="007717CC">
      <w:pPr>
        <w:pStyle w:val="PlainText"/>
        <w:numPr>
          <w:ilvl w:val="0"/>
          <w:numId w:val="21"/>
        </w:numPr>
        <w:spacing w:before="120" w:after="240" w:line="259" w:lineRule="auto"/>
        <w:rPr>
          <w:color w:val="000000"/>
          <w:lang w:val="en-GB"/>
        </w:rPr>
      </w:pPr>
      <w:r>
        <w:rPr>
          <w:color w:val="000000"/>
          <w:lang w:val="en-GB"/>
        </w:rPr>
        <w:t>Section 5(d) should not be amended to omit “and the gender”, but should be amended to state: “the cultural and linguistic circumstances, and the sex, gender, gender identity, sexual orientation and intersex status of people with disability should be taken into account”.</w:t>
      </w:r>
    </w:p>
    <w:p w14:paraId="035CF9F0" w14:textId="33DD1CE4" w:rsidR="00AF7B0B" w:rsidRPr="007717CC" w:rsidRDefault="007717CC" w:rsidP="007717CC">
      <w:pPr>
        <w:pStyle w:val="PlainText"/>
        <w:numPr>
          <w:ilvl w:val="0"/>
          <w:numId w:val="21"/>
        </w:numPr>
        <w:spacing w:before="120" w:line="259" w:lineRule="auto"/>
        <w:ind w:left="714" w:hanging="357"/>
        <w:rPr>
          <w:color w:val="000000"/>
          <w:lang w:val="en-GB"/>
        </w:rPr>
      </w:pPr>
      <w:r>
        <w:rPr>
          <w:color w:val="000000"/>
          <w:lang w:val="en-GB"/>
        </w:rPr>
        <w:t>Section 5 should include specific recognition of the situation of Aboriginal and Torres Strait Islander people with disability: “</w:t>
      </w:r>
      <w:r w:rsidR="00AF7B0B" w:rsidRPr="007717CC">
        <w:rPr>
          <w:sz w:val="24"/>
          <w:szCs w:val="24"/>
        </w:rPr>
        <w:t>The unique cultural and social factors that concern Aboriginal and Torres Strait Islander people with disability should be respected and acknowledged</w:t>
      </w:r>
      <w:r>
        <w:rPr>
          <w:sz w:val="24"/>
          <w:szCs w:val="24"/>
        </w:rPr>
        <w:t>”</w:t>
      </w:r>
      <w:r w:rsidR="00AF7B0B" w:rsidRPr="007717CC">
        <w:rPr>
          <w:sz w:val="24"/>
          <w:szCs w:val="24"/>
        </w:rPr>
        <w:t>.</w:t>
      </w:r>
    </w:p>
    <w:p w14:paraId="10186128" w14:textId="77777777" w:rsidR="007717CC" w:rsidRDefault="007717CC" w:rsidP="00FA79E5">
      <w:pPr>
        <w:pStyle w:val="PlainText"/>
        <w:spacing w:before="120" w:after="120" w:line="259" w:lineRule="auto"/>
        <w:rPr>
          <w:b/>
          <w:i/>
          <w:sz w:val="24"/>
          <w:szCs w:val="24"/>
        </w:rPr>
      </w:pPr>
    </w:p>
    <w:p w14:paraId="20ED145A" w14:textId="0F949383" w:rsidR="00AF7B0B" w:rsidRPr="00FA79E5" w:rsidRDefault="00FA79E5" w:rsidP="007717CC">
      <w:pPr>
        <w:pStyle w:val="Heading2"/>
      </w:pPr>
      <w:bookmarkStart w:id="14" w:name="_Toc489183557"/>
      <w:r w:rsidRPr="00FA79E5">
        <w:t>People with disability and appointments to the NDIA Board</w:t>
      </w:r>
      <w:r w:rsidR="007717CC">
        <w:t>:</w:t>
      </w:r>
      <w:bookmarkEnd w:id="14"/>
    </w:p>
    <w:p w14:paraId="48222138" w14:textId="7D5AE3F9" w:rsidR="00597677" w:rsidRDefault="00523B2B" w:rsidP="00523B2B">
      <w:pPr>
        <w:pStyle w:val="PlainText"/>
        <w:spacing w:before="120" w:after="240" w:line="259" w:lineRule="auto"/>
        <w:ind w:left="567" w:hanging="567"/>
        <w:rPr>
          <w:sz w:val="24"/>
          <w:szCs w:val="24"/>
        </w:rPr>
      </w:pPr>
      <w:r>
        <w:rPr>
          <w:sz w:val="24"/>
          <w:szCs w:val="24"/>
        </w:rPr>
        <w:t>4.20</w:t>
      </w:r>
      <w:r>
        <w:rPr>
          <w:sz w:val="24"/>
          <w:szCs w:val="24"/>
        </w:rPr>
        <w:tab/>
      </w:r>
      <w:r w:rsidR="00597677">
        <w:rPr>
          <w:sz w:val="24"/>
          <w:szCs w:val="24"/>
        </w:rPr>
        <w:t>DPO Australia is concerned that the proposed amendment to section 127(2) of the NDIS Act confines eligibility for people with disability to be appointed to the NDIA Board to only one of the areas that qualify for membership of the NDIA Board – “(a) the provision or use of disability services”.</w:t>
      </w:r>
    </w:p>
    <w:p w14:paraId="26C6290A" w14:textId="58C185D2" w:rsidR="00D147D6" w:rsidRDefault="00523B2B" w:rsidP="00523B2B">
      <w:pPr>
        <w:pStyle w:val="PlainText"/>
        <w:spacing w:before="120" w:after="240" w:line="259" w:lineRule="auto"/>
        <w:ind w:left="567" w:hanging="567"/>
        <w:rPr>
          <w:sz w:val="24"/>
          <w:szCs w:val="24"/>
        </w:rPr>
      </w:pPr>
      <w:r>
        <w:rPr>
          <w:sz w:val="24"/>
          <w:szCs w:val="24"/>
        </w:rPr>
        <w:t>4.21</w:t>
      </w:r>
      <w:r>
        <w:rPr>
          <w:sz w:val="24"/>
          <w:szCs w:val="24"/>
        </w:rPr>
        <w:tab/>
      </w:r>
      <w:r w:rsidR="00597677">
        <w:rPr>
          <w:sz w:val="24"/>
          <w:szCs w:val="24"/>
        </w:rPr>
        <w:t xml:space="preserve">The report from the review of the NDIS Act notes that there was considerable stakeholder concern about the </w:t>
      </w:r>
      <w:r w:rsidR="00D147D6">
        <w:rPr>
          <w:sz w:val="24"/>
          <w:szCs w:val="24"/>
        </w:rPr>
        <w:t xml:space="preserve">lack of emphasis on </w:t>
      </w:r>
      <w:r w:rsidR="00597677">
        <w:rPr>
          <w:sz w:val="24"/>
          <w:szCs w:val="24"/>
        </w:rPr>
        <w:t xml:space="preserve">people with disability </w:t>
      </w:r>
      <w:r w:rsidR="00D147D6">
        <w:rPr>
          <w:sz w:val="24"/>
          <w:szCs w:val="24"/>
        </w:rPr>
        <w:t>being involved in NDIS decision-making, including at the Board level.</w:t>
      </w:r>
      <w:r>
        <w:rPr>
          <w:rStyle w:val="FootnoteReference"/>
          <w:sz w:val="24"/>
          <w:szCs w:val="24"/>
        </w:rPr>
        <w:footnoteReference w:id="36"/>
      </w:r>
      <w:r w:rsidR="00D147D6">
        <w:rPr>
          <w:sz w:val="24"/>
          <w:szCs w:val="24"/>
        </w:rPr>
        <w:t>.  This also reflects the views raised in the NDIS Civil Society Statement: “</w:t>
      </w:r>
      <w:r w:rsidR="00D147D6" w:rsidRPr="00D147D6">
        <w:rPr>
          <w:sz w:val="24"/>
          <w:szCs w:val="24"/>
        </w:rPr>
        <w:t xml:space="preserve">It must not be assumed that people with disability do not </w:t>
      </w:r>
      <w:r w:rsidR="00D147D6" w:rsidRPr="00D147D6">
        <w:rPr>
          <w:sz w:val="24"/>
          <w:szCs w:val="24"/>
        </w:rPr>
        <w:lastRenderedPageBreak/>
        <w:t xml:space="preserve">have the significant disability, governance, financial </w:t>
      </w:r>
      <w:r w:rsidR="00D147D6">
        <w:rPr>
          <w:sz w:val="24"/>
          <w:szCs w:val="24"/>
        </w:rPr>
        <w:t>and industry expertise require</w:t>
      </w:r>
      <w:r>
        <w:rPr>
          <w:sz w:val="24"/>
          <w:szCs w:val="24"/>
        </w:rPr>
        <w:t>d</w:t>
      </w:r>
      <w:r w:rsidR="00D147D6">
        <w:rPr>
          <w:sz w:val="24"/>
          <w:szCs w:val="24"/>
        </w:rPr>
        <w:t xml:space="preserve">” </w:t>
      </w:r>
      <w:r>
        <w:rPr>
          <w:sz w:val="24"/>
          <w:szCs w:val="24"/>
        </w:rPr>
        <w:t>to be eligible for appointment to the NDIA Board.</w:t>
      </w:r>
      <w:r>
        <w:rPr>
          <w:rStyle w:val="FootnoteReference"/>
          <w:sz w:val="24"/>
          <w:szCs w:val="24"/>
        </w:rPr>
        <w:footnoteReference w:id="37"/>
      </w:r>
    </w:p>
    <w:p w14:paraId="60128958" w14:textId="35CD265D" w:rsidR="009B06DF" w:rsidRDefault="00523B2B" w:rsidP="00523B2B">
      <w:pPr>
        <w:pStyle w:val="PlainText"/>
        <w:spacing w:before="120" w:after="240" w:line="259" w:lineRule="auto"/>
        <w:ind w:left="567" w:hanging="567"/>
        <w:rPr>
          <w:sz w:val="24"/>
          <w:szCs w:val="24"/>
        </w:rPr>
      </w:pPr>
      <w:r>
        <w:rPr>
          <w:sz w:val="24"/>
          <w:szCs w:val="24"/>
        </w:rPr>
        <w:t xml:space="preserve">4.22 </w:t>
      </w:r>
      <w:r>
        <w:rPr>
          <w:sz w:val="24"/>
          <w:szCs w:val="24"/>
        </w:rPr>
        <w:tab/>
      </w:r>
      <w:r w:rsidR="009B06DF">
        <w:rPr>
          <w:sz w:val="24"/>
          <w:szCs w:val="24"/>
        </w:rPr>
        <w:t xml:space="preserve">If </w:t>
      </w:r>
      <w:r w:rsidR="00D147D6">
        <w:rPr>
          <w:sz w:val="24"/>
          <w:szCs w:val="24"/>
        </w:rPr>
        <w:t xml:space="preserve">the intent of the proposed amendment in the Bill </w:t>
      </w:r>
      <w:r w:rsidR="005627FF">
        <w:rPr>
          <w:sz w:val="24"/>
          <w:szCs w:val="24"/>
        </w:rPr>
        <w:t xml:space="preserve">is </w:t>
      </w:r>
      <w:r w:rsidR="00D147D6">
        <w:rPr>
          <w:sz w:val="24"/>
          <w:szCs w:val="24"/>
        </w:rPr>
        <w:t xml:space="preserve">to strengthen recognition that people with disability should be strongly considered when selecting Board members, </w:t>
      </w:r>
      <w:r w:rsidR="005627FF">
        <w:rPr>
          <w:sz w:val="24"/>
          <w:szCs w:val="24"/>
        </w:rPr>
        <w:t xml:space="preserve">then </w:t>
      </w:r>
      <w:r w:rsidR="00D147D6">
        <w:rPr>
          <w:sz w:val="24"/>
          <w:szCs w:val="24"/>
        </w:rPr>
        <w:t xml:space="preserve">this </w:t>
      </w:r>
      <w:r w:rsidR="005627FF">
        <w:rPr>
          <w:sz w:val="24"/>
          <w:szCs w:val="24"/>
        </w:rPr>
        <w:t xml:space="preserve">recognition </w:t>
      </w:r>
      <w:r w:rsidR="00D147D6">
        <w:rPr>
          <w:sz w:val="24"/>
          <w:szCs w:val="24"/>
        </w:rPr>
        <w:t>should apply to all of the fields listed</w:t>
      </w:r>
      <w:r w:rsidR="009B06DF">
        <w:rPr>
          <w:sz w:val="24"/>
          <w:szCs w:val="24"/>
        </w:rPr>
        <w:t xml:space="preserve"> from </w:t>
      </w:r>
      <w:r w:rsidR="00D147D6">
        <w:rPr>
          <w:sz w:val="24"/>
          <w:szCs w:val="24"/>
        </w:rPr>
        <w:t>(a)</w:t>
      </w:r>
      <w:r w:rsidR="009B06DF">
        <w:rPr>
          <w:sz w:val="24"/>
          <w:szCs w:val="24"/>
        </w:rPr>
        <w:t xml:space="preserve"> – (d)</w:t>
      </w:r>
      <w:r w:rsidR="005627FF">
        <w:rPr>
          <w:sz w:val="24"/>
          <w:szCs w:val="24"/>
        </w:rPr>
        <w:t xml:space="preserve"> in section 127(2)</w:t>
      </w:r>
      <w:r w:rsidR="009B06DF">
        <w:rPr>
          <w:sz w:val="24"/>
          <w:szCs w:val="24"/>
        </w:rPr>
        <w:t xml:space="preserve">.  </w:t>
      </w:r>
      <w:r w:rsidR="00CD500D">
        <w:rPr>
          <w:sz w:val="24"/>
          <w:szCs w:val="24"/>
        </w:rPr>
        <w:t xml:space="preserve">This also reflects anti-discrimination law.  </w:t>
      </w:r>
      <w:r w:rsidR="009B06DF">
        <w:rPr>
          <w:sz w:val="24"/>
          <w:szCs w:val="24"/>
        </w:rPr>
        <w:t xml:space="preserve">As it stands the amendment </w:t>
      </w:r>
      <w:r w:rsidR="00F50EA6">
        <w:rPr>
          <w:sz w:val="24"/>
          <w:szCs w:val="24"/>
        </w:rPr>
        <w:t xml:space="preserve">can be read as </w:t>
      </w:r>
      <w:r w:rsidR="009B06DF">
        <w:rPr>
          <w:sz w:val="24"/>
          <w:szCs w:val="24"/>
        </w:rPr>
        <w:t>limit</w:t>
      </w:r>
      <w:r w:rsidR="00F50EA6">
        <w:rPr>
          <w:sz w:val="24"/>
          <w:szCs w:val="24"/>
        </w:rPr>
        <w:t>ing</w:t>
      </w:r>
      <w:r w:rsidR="009B06DF">
        <w:rPr>
          <w:sz w:val="24"/>
          <w:szCs w:val="24"/>
        </w:rPr>
        <w:t xml:space="preserve"> eligibility to </w:t>
      </w:r>
      <w:r w:rsidR="005627FF">
        <w:rPr>
          <w:sz w:val="24"/>
          <w:szCs w:val="24"/>
        </w:rPr>
        <w:t>‘</w:t>
      </w:r>
      <w:r w:rsidR="009B06DF">
        <w:rPr>
          <w:sz w:val="24"/>
          <w:szCs w:val="24"/>
        </w:rPr>
        <w:t>the provision or use of disability services</w:t>
      </w:r>
      <w:r w:rsidR="005627FF">
        <w:rPr>
          <w:sz w:val="24"/>
          <w:szCs w:val="24"/>
        </w:rPr>
        <w:t>’</w:t>
      </w:r>
      <w:r w:rsidR="009B06DF">
        <w:rPr>
          <w:sz w:val="24"/>
          <w:szCs w:val="24"/>
        </w:rPr>
        <w:t xml:space="preserve">.  </w:t>
      </w:r>
    </w:p>
    <w:p w14:paraId="2AE8107A" w14:textId="37E2A86E" w:rsidR="009B06DF" w:rsidRDefault="005627FF" w:rsidP="005627FF">
      <w:pPr>
        <w:pStyle w:val="PlainText"/>
        <w:spacing w:before="120" w:after="240" w:line="259" w:lineRule="auto"/>
        <w:ind w:left="567" w:hanging="567"/>
        <w:rPr>
          <w:sz w:val="24"/>
          <w:szCs w:val="24"/>
        </w:rPr>
      </w:pPr>
      <w:r>
        <w:rPr>
          <w:sz w:val="24"/>
          <w:szCs w:val="24"/>
        </w:rPr>
        <w:t>4.23</w:t>
      </w:r>
      <w:r>
        <w:rPr>
          <w:sz w:val="24"/>
          <w:szCs w:val="24"/>
        </w:rPr>
        <w:tab/>
      </w:r>
      <w:r w:rsidR="009B06DF">
        <w:rPr>
          <w:sz w:val="24"/>
          <w:szCs w:val="24"/>
        </w:rPr>
        <w:t xml:space="preserve">DPO Australia also has concerns with the term used in the proposed amendment, ‘person with lived experience of disability’. This term is increasingly being used to cover a broad range of people who have connections to people with disability as well as people with disability themselves.  It obscures the central role that people with disability should have in the NDIS, including in decision-making within the NDIA Board, and implies that others can speak, make decisions for and have the same experiences as people with disability themselves.  </w:t>
      </w:r>
      <w:r>
        <w:rPr>
          <w:sz w:val="24"/>
          <w:szCs w:val="24"/>
        </w:rPr>
        <w:t xml:space="preserve">This does not deny expertise held by family members, carers etc, but if people with disability are considered central to the NDIS, then the focus of any amendment should be on strengthening the leadership role people with disability.  </w:t>
      </w:r>
      <w:r w:rsidR="007E5656">
        <w:rPr>
          <w:sz w:val="24"/>
          <w:szCs w:val="24"/>
        </w:rPr>
        <w:t xml:space="preserve">Any amendment to this section needs to refer to </w:t>
      </w:r>
      <w:r>
        <w:rPr>
          <w:sz w:val="24"/>
          <w:szCs w:val="24"/>
        </w:rPr>
        <w:t>‘</w:t>
      </w:r>
      <w:r w:rsidR="007E5656">
        <w:rPr>
          <w:sz w:val="24"/>
          <w:szCs w:val="24"/>
        </w:rPr>
        <w:t>persons</w:t>
      </w:r>
      <w:r>
        <w:rPr>
          <w:sz w:val="24"/>
          <w:szCs w:val="24"/>
        </w:rPr>
        <w:t xml:space="preserve"> with disability’ </w:t>
      </w:r>
      <w:r w:rsidR="007E5656">
        <w:rPr>
          <w:sz w:val="24"/>
          <w:szCs w:val="24"/>
        </w:rPr>
        <w:t>in recognition of the need to strengthen representation of people with disability on the NDIA Board.</w:t>
      </w:r>
      <w:r>
        <w:rPr>
          <w:rStyle w:val="FootnoteReference"/>
          <w:sz w:val="24"/>
          <w:szCs w:val="24"/>
        </w:rPr>
        <w:footnoteReference w:id="38"/>
      </w:r>
      <w:r>
        <w:rPr>
          <w:sz w:val="24"/>
          <w:szCs w:val="24"/>
        </w:rPr>
        <w:t xml:space="preserve">  </w:t>
      </w:r>
    </w:p>
    <w:p w14:paraId="439ACE14" w14:textId="7B08D644" w:rsidR="007E5656" w:rsidRPr="00BD0939" w:rsidRDefault="007E5656" w:rsidP="00AC0EE2">
      <w:pPr>
        <w:pStyle w:val="PlainText"/>
        <w:spacing w:before="120" w:after="120" w:line="259" w:lineRule="auto"/>
        <w:rPr>
          <w:b/>
          <w:i/>
          <w:sz w:val="24"/>
          <w:szCs w:val="24"/>
        </w:rPr>
      </w:pPr>
      <w:r w:rsidRPr="00BD0939">
        <w:rPr>
          <w:b/>
          <w:i/>
          <w:sz w:val="24"/>
          <w:szCs w:val="24"/>
        </w:rPr>
        <w:t>Rec</w:t>
      </w:r>
      <w:r w:rsidR="00BD0939" w:rsidRPr="00BD0939">
        <w:rPr>
          <w:b/>
          <w:i/>
          <w:sz w:val="24"/>
          <w:szCs w:val="24"/>
        </w:rPr>
        <w:t>ommendation</w:t>
      </w:r>
      <w:r w:rsidRPr="00BD0939">
        <w:rPr>
          <w:b/>
          <w:i/>
          <w:sz w:val="24"/>
          <w:szCs w:val="24"/>
        </w:rPr>
        <w:t>:</w:t>
      </w:r>
    </w:p>
    <w:p w14:paraId="0F57D276" w14:textId="3AEF9AD5" w:rsidR="007C67FA" w:rsidRDefault="00BD39B3" w:rsidP="00B378DB">
      <w:pPr>
        <w:pStyle w:val="ListParagraph"/>
        <w:numPr>
          <w:ilvl w:val="0"/>
          <w:numId w:val="21"/>
        </w:numPr>
        <w:spacing w:after="120"/>
        <w:ind w:left="714" w:hanging="357"/>
        <w:contextualSpacing w:val="0"/>
        <w:rPr>
          <w:color w:val="000000"/>
          <w:lang w:val="en-GB"/>
        </w:rPr>
      </w:pPr>
      <w:r>
        <w:rPr>
          <w:color w:val="000000"/>
          <w:lang w:val="en-GB"/>
        </w:rPr>
        <w:t>The amendment to section 127(2) in the Bill should not be accepted.</w:t>
      </w:r>
    </w:p>
    <w:p w14:paraId="58CC9150" w14:textId="69FA1A8E" w:rsidR="00BD39B3" w:rsidRPr="00BD0939" w:rsidRDefault="00BD39B3" w:rsidP="00B378DB">
      <w:pPr>
        <w:pStyle w:val="ListParagraph"/>
        <w:numPr>
          <w:ilvl w:val="0"/>
          <w:numId w:val="21"/>
        </w:numPr>
        <w:spacing w:after="120"/>
        <w:ind w:left="714" w:hanging="357"/>
        <w:contextualSpacing w:val="0"/>
        <w:rPr>
          <w:color w:val="000000"/>
          <w:lang w:val="en-GB"/>
        </w:rPr>
      </w:pPr>
      <w:r>
        <w:rPr>
          <w:color w:val="000000"/>
          <w:lang w:val="en-GB"/>
        </w:rPr>
        <w:t xml:space="preserve">Amendments to strengthen the appointment of people with disability to the NDIA Board, should apply to all the fields listed in section 127(2) of the NDIS Act and should be specifically directed at ‘persons with </w:t>
      </w:r>
      <w:r w:rsidR="00B378DB">
        <w:rPr>
          <w:color w:val="000000"/>
          <w:lang w:val="en-GB"/>
        </w:rPr>
        <w:t>disability</w:t>
      </w:r>
      <w:r>
        <w:rPr>
          <w:color w:val="000000"/>
          <w:lang w:val="en-GB"/>
        </w:rPr>
        <w:t>’</w:t>
      </w:r>
      <w:r w:rsidR="00B378DB">
        <w:rPr>
          <w:color w:val="000000"/>
          <w:lang w:val="en-GB"/>
        </w:rPr>
        <w:t>: “Persons with disability are eligible for appointment under all the fields (a)-(d)”.</w:t>
      </w:r>
    </w:p>
    <w:p w14:paraId="7B2C9ECD" w14:textId="77777777" w:rsidR="00EA22A1" w:rsidRDefault="00EA22A1" w:rsidP="00EA22A1"/>
    <w:p w14:paraId="105122B8" w14:textId="77777777" w:rsidR="00231D18" w:rsidRDefault="00231D18" w:rsidP="00DB7834">
      <w:pPr>
        <w:pStyle w:val="Body"/>
        <w:tabs>
          <w:tab w:val="left" w:pos="284"/>
        </w:tabs>
        <w:jc w:val="center"/>
        <w:rPr>
          <w:rStyle w:val="NoneA"/>
          <w:rFonts w:asciiTheme="minorHAnsi" w:hAnsiTheme="minorHAnsi" w:cstheme="minorHAnsi"/>
          <w:bCs/>
        </w:rPr>
      </w:pPr>
    </w:p>
    <w:p w14:paraId="6EC76FC1" w14:textId="15FC53BA" w:rsidR="00F5359F" w:rsidRPr="00DB7834" w:rsidRDefault="00F5359F" w:rsidP="00DB7834">
      <w:pPr>
        <w:pStyle w:val="Body"/>
        <w:tabs>
          <w:tab w:val="left" w:pos="284"/>
        </w:tabs>
        <w:jc w:val="center"/>
        <w:rPr>
          <w:rFonts w:asciiTheme="minorHAnsi" w:eastAsia="Arial" w:hAnsiTheme="minorHAnsi" w:cstheme="minorHAnsi"/>
          <w:bCs/>
        </w:rPr>
      </w:pPr>
      <w:r w:rsidRPr="00DB7834">
        <w:rPr>
          <w:rStyle w:val="NoneA"/>
          <w:rFonts w:asciiTheme="minorHAnsi" w:hAnsiTheme="minorHAnsi" w:cstheme="minorHAnsi"/>
          <w:bCs/>
        </w:rPr>
        <w:t xml:space="preserve">DPO Australia thanks the </w:t>
      </w:r>
      <w:r w:rsidR="00BD0939">
        <w:rPr>
          <w:rStyle w:val="NoneA"/>
          <w:rFonts w:asciiTheme="minorHAnsi" w:hAnsiTheme="minorHAnsi" w:cstheme="minorHAnsi"/>
          <w:bCs/>
        </w:rPr>
        <w:t>Senate Community Affairs Legislation Committee</w:t>
      </w:r>
      <w:r w:rsidRPr="00DB7834">
        <w:rPr>
          <w:rStyle w:val="NoneA"/>
          <w:rFonts w:asciiTheme="minorHAnsi" w:hAnsiTheme="minorHAnsi" w:cstheme="minorHAnsi"/>
          <w:bCs/>
        </w:rPr>
        <w:t xml:space="preserve"> for the opportunity to contribute </w:t>
      </w:r>
      <w:r w:rsidR="00782677">
        <w:rPr>
          <w:rStyle w:val="NoneA"/>
          <w:rFonts w:asciiTheme="minorHAnsi" w:hAnsiTheme="minorHAnsi" w:cstheme="minorHAnsi"/>
          <w:bCs/>
        </w:rPr>
        <w:t xml:space="preserve">our views </w:t>
      </w:r>
      <w:r w:rsidR="00BD0939">
        <w:rPr>
          <w:rStyle w:val="NoneA"/>
          <w:rFonts w:asciiTheme="minorHAnsi" w:hAnsiTheme="minorHAnsi" w:cstheme="minorHAnsi"/>
          <w:bCs/>
        </w:rPr>
        <w:t xml:space="preserve">to this Inquiry, </w:t>
      </w:r>
      <w:r w:rsidRPr="00DB7834">
        <w:rPr>
          <w:rStyle w:val="NoneA"/>
          <w:rFonts w:asciiTheme="minorHAnsi" w:hAnsiTheme="minorHAnsi" w:cstheme="minorHAnsi"/>
          <w:bCs/>
        </w:rPr>
        <w:t>and we would welcome further consultation on any of the matters raised in this submission.</w:t>
      </w:r>
    </w:p>
    <w:p w14:paraId="74172D1B" w14:textId="77777777" w:rsidR="00F5359F" w:rsidRPr="005629B0" w:rsidRDefault="00F5359F" w:rsidP="00F5359F">
      <w:pPr>
        <w:rPr>
          <w:rFonts w:asciiTheme="majorHAnsi" w:hAnsiTheme="majorHAnsi" w:cs="Arial"/>
          <w:sz w:val="24"/>
          <w:szCs w:val="24"/>
        </w:rPr>
      </w:pPr>
    </w:p>
    <w:p w14:paraId="382A5786" w14:textId="77777777" w:rsidR="00F5359F" w:rsidRPr="005629B0" w:rsidRDefault="00F5359F" w:rsidP="00F5359F"/>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6"/>
        <w:gridCol w:w="2552"/>
        <w:gridCol w:w="2301"/>
        <w:gridCol w:w="2656"/>
      </w:tblGrid>
      <w:tr w:rsidR="00F5359F" w:rsidRPr="005629B0" w14:paraId="36677CA5" w14:textId="77777777" w:rsidTr="00007B29">
        <w:trPr>
          <w:trHeight w:val="1847"/>
        </w:trPr>
        <w:tc>
          <w:tcPr>
            <w:tcW w:w="2656" w:type="dxa"/>
          </w:tcPr>
          <w:p w14:paraId="4B6C8D1D"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sz w:val="24"/>
                <w:szCs w:val="24"/>
              </w:rPr>
              <w:br w:type="page"/>
            </w:r>
            <w:r w:rsidRPr="005629B0">
              <w:rPr>
                <w:rFonts w:asciiTheme="majorHAnsi" w:hAnsiTheme="majorHAnsi" w:cs="Arial"/>
                <w:noProof/>
                <w:sz w:val="24"/>
                <w:szCs w:val="24"/>
                <w:lang w:val="en-US"/>
              </w:rPr>
              <w:drawing>
                <wp:inline distT="0" distB="0" distL="0" distR="0" wp14:anchorId="3FCB1268" wp14:editId="6C8DF785">
                  <wp:extent cx="1541780" cy="80835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1780" cy="808355"/>
                          </a:xfrm>
                          <a:prstGeom prst="rect">
                            <a:avLst/>
                          </a:prstGeom>
                          <a:noFill/>
                          <a:ln>
                            <a:noFill/>
                          </a:ln>
                        </pic:spPr>
                      </pic:pic>
                    </a:graphicData>
                  </a:graphic>
                </wp:inline>
              </w:drawing>
            </w:r>
          </w:p>
        </w:tc>
        <w:tc>
          <w:tcPr>
            <w:tcW w:w="2552" w:type="dxa"/>
          </w:tcPr>
          <w:p w14:paraId="1E6E7EC8"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val="en-US"/>
              </w:rPr>
              <w:drawing>
                <wp:inline distT="0" distB="0" distL="0" distR="0" wp14:anchorId="1D5D9E0F" wp14:editId="2B8558ED">
                  <wp:extent cx="967740" cy="9569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7740" cy="956945"/>
                          </a:xfrm>
                          <a:prstGeom prst="rect">
                            <a:avLst/>
                          </a:prstGeom>
                          <a:noFill/>
                          <a:ln>
                            <a:noFill/>
                          </a:ln>
                        </pic:spPr>
                      </pic:pic>
                    </a:graphicData>
                  </a:graphic>
                </wp:inline>
              </w:drawing>
            </w:r>
          </w:p>
        </w:tc>
        <w:tc>
          <w:tcPr>
            <w:tcW w:w="2301" w:type="dxa"/>
            <w:hideMark/>
          </w:tcPr>
          <w:p w14:paraId="1002920E"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val="en-US"/>
              </w:rPr>
              <w:drawing>
                <wp:inline distT="0" distB="0" distL="0" distR="0" wp14:anchorId="35B14DC5" wp14:editId="6E0157F4">
                  <wp:extent cx="775970" cy="71247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5970" cy="712470"/>
                          </a:xfrm>
                          <a:prstGeom prst="rect">
                            <a:avLst/>
                          </a:prstGeom>
                          <a:noFill/>
                          <a:ln>
                            <a:noFill/>
                          </a:ln>
                        </pic:spPr>
                      </pic:pic>
                    </a:graphicData>
                  </a:graphic>
                </wp:inline>
              </w:drawing>
            </w:r>
          </w:p>
        </w:tc>
        <w:tc>
          <w:tcPr>
            <w:tcW w:w="2656" w:type="dxa"/>
          </w:tcPr>
          <w:p w14:paraId="4DA9DCEE" w14:textId="77777777" w:rsidR="00F5359F" w:rsidRPr="005629B0" w:rsidRDefault="00F5359F" w:rsidP="00007B29">
            <w:pPr>
              <w:spacing w:before="120" w:after="120"/>
              <w:rPr>
                <w:rFonts w:asciiTheme="majorHAnsi" w:hAnsiTheme="majorHAnsi" w:cs="Arial"/>
                <w:sz w:val="24"/>
                <w:szCs w:val="24"/>
              </w:rPr>
            </w:pPr>
          </w:p>
          <w:p w14:paraId="088D78FF" w14:textId="77777777" w:rsidR="00F5359F" w:rsidRPr="005629B0" w:rsidRDefault="00F5359F" w:rsidP="00007B29">
            <w:pPr>
              <w:spacing w:before="120" w:after="120"/>
              <w:rPr>
                <w:rFonts w:asciiTheme="majorHAnsi" w:hAnsiTheme="majorHAnsi" w:cs="Arial"/>
                <w:sz w:val="24"/>
                <w:szCs w:val="24"/>
              </w:rPr>
            </w:pPr>
            <w:r w:rsidRPr="005629B0">
              <w:rPr>
                <w:rFonts w:asciiTheme="majorHAnsi" w:hAnsiTheme="majorHAnsi" w:cs="Arial"/>
                <w:noProof/>
                <w:sz w:val="24"/>
                <w:szCs w:val="24"/>
                <w:lang w:val="en-US"/>
              </w:rPr>
              <w:drawing>
                <wp:inline distT="0" distB="0" distL="0" distR="0" wp14:anchorId="4498203B" wp14:editId="1B194330">
                  <wp:extent cx="1552575" cy="49974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52575" cy="499745"/>
                          </a:xfrm>
                          <a:prstGeom prst="rect">
                            <a:avLst/>
                          </a:prstGeom>
                          <a:noFill/>
                          <a:ln>
                            <a:noFill/>
                          </a:ln>
                        </pic:spPr>
                      </pic:pic>
                    </a:graphicData>
                  </a:graphic>
                </wp:inline>
              </w:drawing>
            </w:r>
          </w:p>
        </w:tc>
      </w:tr>
    </w:tbl>
    <w:p w14:paraId="6CFD8F5D" w14:textId="77777777" w:rsidR="0036535D" w:rsidRDefault="0036535D"/>
    <w:sectPr w:rsidR="0036535D" w:rsidSect="00007B29">
      <w:footerReference w:type="even" r:id="rId20"/>
      <w:footerReference w:type="default" r:id="rId21"/>
      <w:pgSz w:w="11900" w:h="16840"/>
      <w:pgMar w:top="1418" w:right="1134"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B26CB" w14:textId="77777777" w:rsidR="00523B2B" w:rsidRDefault="00523B2B" w:rsidP="00F5359F">
      <w:r>
        <w:separator/>
      </w:r>
    </w:p>
  </w:endnote>
  <w:endnote w:type="continuationSeparator" w:id="0">
    <w:p w14:paraId="1F532BDE" w14:textId="77777777" w:rsidR="00523B2B" w:rsidRDefault="00523B2B" w:rsidP="00F53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egoe UI">
    <w:altName w:val="Times New Roman Bold"/>
    <w:charset w:val="00"/>
    <w:family w:val="swiss"/>
    <w:pitch w:val="variable"/>
    <w:sig w:usb0="E10022FF" w:usb1="C000E47F" w:usb2="00000029" w:usb3="00000000" w:csb0="000001DF" w:csb1="00000000"/>
  </w:font>
  <w:font w:name="STZhongsong">
    <w:altName w:val="Arial Unicode MS"/>
    <w:charset w:val="86"/>
    <w:family w:val="auto"/>
    <w:pitch w:val="variable"/>
    <w:sig w:usb0="00000000" w:usb1="080F0000" w:usb2="00000010" w:usb3="00000000" w:csb0="0004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8F6CD" w14:textId="77777777" w:rsidR="00523B2B" w:rsidRDefault="00523B2B" w:rsidP="00007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0F6AD" w14:textId="77777777" w:rsidR="00523B2B" w:rsidRDefault="00523B2B" w:rsidP="00007B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D7477" w14:textId="77777777" w:rsidR="00523B2B" w:rsidRDefault="00523B2B" w:rsidP="00007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72E0">
      <w:rPr>
        <w:rStyle w:val="PageNumber"/>
        <w:noProof/>
      </w:rPr>
      <w:t>4</w:t>
    </w:r>
    <w:r>
      <w:rPr>
        <w:rStyle w:val="PageNumber"/>
      </w:rPr>
      <w:fldChar w:fldCharType="end"/>
    </w:r>
  </w:p>
  <w:p w14:paraId="4769EE45" w14:textId="77777777" w:rsidR="00523B2B" w:rsidRDefault="00523B2B" w:rsidP="00007B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3EAA4" w14:textId="77777777" w:rsidR="00523B2B" w:rsidRDefault="00523B2B" w:rsidP="00F5359F">
      <w:r>
        <w:separator/>
      </w:r>
    </w:p>
  </w:footnote>
  <w:footnote w:type="continuationSeparator" w:id="0">
    <w:p w14:paraId="63217F72" w14:textId="77777777" w:rsidR="00523B2B" w:rsidRDefault="00523B2B" w:rsidP="00F5359F">
      <w:r>
        <w:continuationSeparator/>
      </w:r>
    </w:p>
  </w:footnote>
  <w:footnote w:id="1">
    <w:p w14:paraId="1C508B25" w14:textId="6C944116" w:rsidR="00523B2B" w:rsidRPr="006E21D6" w:rsidRDefault="00523B2B" w:rsidP="00BF0CED">
      <w:pPr>
        <w:pStyle w:val="FootnoteText"/>
        <w:spacing w:after="60" w:line="240" w:lineRule="auto"/>
      </w:pPr>
      <w:r>
        <w:rPr>
          <w:rStyle w:val="FootnoteReference"/>
        </w:rPr>
        <w:footnoteRef/>
      </w:r>
      <w:r>
        <w:t xml:space="preserve"> </w:t>
      </w:r>
      <w:proofErr w:type="gramStart"/>
      <w:r>
        <w:t>Section 3(1) and 3(1)(h)(</w:t>
      </w:r>
      <w:proofErr w:type="spellStart"/>
      <w:r>
        <w:t>i</w:t>
      </w:r>
      <w:proofErr w:type="spellEnd"/>
      <w:r>
        <w:t xml:space="preserve">), Part 2, Objects and principles, </w:t>
      </w:r>
      <w:r w:rsidRPr="006E21D6">
        <w:rPr>
          <w:i/>
        </w:rPr>
        <w:t>NDIS Act 2013</w:t>
      </w:r>
      <w:r>
        <w:t>.</w:t>
      </w:r>
      <w:proofErr w:type="gramEnd"/>
    </w:p>
  </w:footnote>
  <w:footnote w:id="2">
    <w:p w14:paraId="5C2D5881" w14:textId="0EE6C70B" w:rsidR="00523B2B" w:rsidRDefault="00523B2B" w:rsidP="00BF0CED">
      <w:pPr>
        <w:pStyle w:val="FootnoteText"/>
        <w:spacing w:after="0" w:line="240" w:lineRule="auto"/>
      </w:pPr>
      <w:r>
        <w:rPr>
          <w:rStyle w:val="FootnoteReference"/>
        </w:rPr>
        <w:footnoteRef/>
      </w:r>
      <w:r>
        <w:t xml:space="preserve"> As noted in Explanatory Memorandum to this Bill, p. ii; and ‘End the Violence: Call a Royal Commission into Violence and Abuse Against People with Disability’, Civil Society Statement to the Australian Government, May 2017, </w:t>
      </w:r>
      <w:r w:rsidRPr="00D85F97">
        <w:t xml:space="preserve">Disabled People’s Organisations Australia, </w:t>
      </w:r>
      <w:hyperlink r:id="rId1" w:history="1">
        <w:r w:rsidRPr="00F73A38">
          <w:rPr>
            <w:rStyle w:val="Hyperlink"/>
          </w:rPr>
          <w:t>http://dpoa.org.au/civil-society-statement-rc/</w:t>
        </w:r>
      </w:hyperlink>
      <w:r>
        <w:t xml:space="preserve"> </w:t>
      </w:r>
    </w:p>
  </w:footnote>
  <w:footnote w:id="3">
    <w:p w14:paraId="25FC7E8A" w14:textId="2CF81DDA" w:rsidR="00523B2B" w:rsidRPr="0076597A" w:rsidRDefault="00523B2B" w:rsidP="00BF0CED">
      <w:pPr>
        <w:pStyle w:val="FootnoteText"/>
        <w:spacing w:after="60" w:line="240" w:lineRule="auto"/>
        <w:rPr>
          <w:i/>
          <w:iCs/>
        </w:rPr>
      </w:pPr>
      <w:r>
        <w:rPr>
          <w:rStyle w:val="FootnoteReference"/>
        </w:rPr>
        <w:footnoteRef/>
      </w:r>
      <w:r>
        <w:t xml:space="preserve"> See e.g., </w:t>
      </w:r>
      <w:r w:rsidRPr="0038760F">
        <w:t xml:space="preserve">Frohmader, C., &amp; Sands, T. (2015) </w:t>
      </w:r>
      <w:r w:rsidRPr="0038760F">
        <w:rPr>
          <w:i/>
          <w:iCs/>
        </w:rPr>
        <w:t xml:space="preserve">Australian Cross Disability Alliance </w:t>
      </w:r>
      <w:r>
        <w:rPr>
          <w:i/>
          <w:iCs/>
        </w:rPr>
        <w:t xml:space="preserve">(ACDA) Submission to the Senate </w:t>
      </w:r>
      <w:r w:rsidRPr="0038760F">
        <w:rPr>
          <w:i/>
          <w:iCs/>
        </w:rPr>
        <w:t>Inquiry into Violence, abuse and neglect against people with disability in institutional and residential settings’</w:t>
      </w:r>
      <w:r w:rsidRPr="0038760F">
        <w:t>.</w:t>
      </w:r>
      <w:r>
        <w:t xml:space="preserve"> August 2015, </w:t>
      </w:r>
      <w:r w:rsidRPr="0038760F">
        <w:t>Australian Cross Disability Alliance (ACDA); Sydney,</w:t>
      </w:r>
      <w:r>
        <w:t xml:space="preserve"> Australia, </w:t>
      </w:r>
      <w:proofErr w:type="spellStart"/>
      <w:r>
        <w:t>para</w:t>
      </w:r>
      <w:proofErr w:type="spellEnd"/>
      <w:r>
        <w:t xml:space="preserve"> 42.6, p. 12</w:t>
      </w:r>
    </w:p>
  </w:footnote>
  <w:footnote w:id="4">
    <w:p w14:paraId="77898F40" w14:textId="0D6E59E0" w:rsidR="00523B2B" w:rsidRDefault="00523B2B" w:rsidP="00BF0CED">
      <w:pPr>
        <w:pStyle w:val="FootnoteText"/>
        <w:spacing w:after="60" w:line="240" w:lineRule="auto"/>
      </w:pPr>
      <w:r>
        <w:rPr>
          <w:rStyle w:val="FootnoteReference"/>
        </w:rPr>
        <w:footnoteRef/>
      </w:r>
      <w:r>
        <w:t xml:space="preserve"> See recommendation 2, </w:t>
      </w:r>
      <w:proofErr w:type="spellStart"/>
      <w:r>
        <w:t>paras</w:t>
      </w:r>
      <w:proofErr w:type="spellEnd"/>
      <w:r>
        <w:t xml:space="preserve"> 10.16 and 10.17, p. xv, Senate Community Affairs References Committee: </w:t>
      </w:r>
      <w:hyperlink r:id="rId2" w:history="1">
        <w:r w:rsidRPr="000E055A">
          <w:rPr>
            <w:rStyle w:val="Hyperlink"/>
          </w:rPr>
          <w:t>http://www.aph.gov.au/Parliamentary_Business/Committees/Senate/Community_Affairs/Violence_abuse_neglect/Report</w:t>
        </w:r>
      </w:hyperlink>
      <w:r>
        <w:t xml:space="preserve"> </w:t>
      </w:r>
    </w:p>
  </w:footnote>
  <w:footnote w:id="5">
    <w:p w14:paraId="5393B240" w14:textId="36C41534" w:rsidR="00523B2B" w:rsidRDefault="00523B2B" w:rsidP="0076597A">
      <w:pPr>
        <w:pStyle w:val="FootnoteText"/>
        <w:spacing w:after="60" w:line="240" w:lineRule="auto"/>
      </w:pPr>
      <w:r>
        <w:rPr>
          <w:rStyle w:val="FootnoteReference"/>
        </w:rPr>
        <w:footnoteRef/>
      </w:r>
      <w:r>
        <w:t xml:space="preserve"> Recommendation 1, </w:t>
      </w:r>
      <w:proofErr w:type="spellStart"/>
      <w:r>
        <w:t>para</w:t>
      </w:r>
      <w:proofErr w:type="spellEnd"/>
      <w:r>
        <w:t xml:space="preserve"> 10.10, p. xv, </w:t>
      </w:r>
      <w:r w:rsidRPr="00C065D2">
        <w:t xml:space="preserve">Senate Community Affairs References Committee: </w:t>
      </w:r>
      <w:hyperlink r:id="rId3" w:history="1">
        <w:r w:rsidRPr="00C065D2">
          <w:rPr>
            <w:rStyle w:val="Hyperlink"/>
          </w:rPr>
          <w:t>http://www.aph.gov.au/Parliamentary_Business/Committees/Senate/Community_Affairs/Violence_abuse_neglect/Report</w:t>
        </w:r>
      </w:hyperlink>
    </w:p>
  </w:footnote>
  <w:footnote w:id="6">
    <w:p w14:paraId="71257D68" w14:textId="21E5F6C3" w:rsidR="00523B2B" w:rsidRDefault="00523B2B" w:rsidP="0076597A">
      <w:pPr>
        <w:pStyle w:val="FootnoteText"/>
        <w:spacing w:after="0" w:line="240" w:lineRule="auto"/>
      </w:pPr>
      <w:r>
        <w:rPr>
          <w:rStyle w:val="FootnoteReference"/>
        </w:rPr>
        <w:footnoteRef/>
      </w:r>
      <w:r>
        <w:t xml:space="preserve"> See e.g., ‘End the Violence: Call a Royal Commission into Violence and Abuse Against People with Disability’, Civil Society Statement to the Australian Government, May 2017, Disabled People’s Organisations Australia, </w:t>
      </w:r>
      <w:hyperlink r:id="rId4" w:history="1">
        <w:r w:rsidRPr="000E055A">
          <w:rPr>
            <w:rStyle w:val="Hyperlink"/>
          </w:rPr>
          <w:t>http://dpoa.org.au/civil-society-statement-rc/</w:t>
        </w:r>
      </w:hyperlink>
      <w:r>
        <w:t xml:space="preserve"> </w:t>
      </w:r>
    </w:p>
  </w:footnote>
  <w:footnote w:id="7">
    <w:p w14:paraId="5A357830" w14:textId="652FD585" w:rsidR="00523B2B" w:rsidRDefault="00523B2B" w:rsidP="006558AC">
      <w:pPr>
        <w:pStyle w:val="FootnoteText"/>
        <w:spacing w:after="0" w:line="240" w:lineRule="auto"/>
      </w:pPr>
      <w:r>
        <w:rPr>
          <w:rStyle w:val="FootnoteReference"/>
        </w:rPr>
        <w:footnoteRef/>
      </w:r>
      <w:r>
        <w:t xml:space="preserve"> ‘Australian Government response to the Senate Community Affairs References Committee report: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2 March 2017, </w:t>
      </w:r>
      <w:hyperlink r:id="rId5" w:history="1">
        <w:r w:rsidRPr="000E055A">
          <w:rPr>
            <w:rStyle w:val="Hyperlink"/>
          </w:rPr>
          <w:t>http://www.aph.gov.au/Parliamentary_Business/Committees/Senate/Community_Affairs/Violence_abuse_neglect/Government_Response</w:t>
        </w:r>
      </w:hyperlink>
      <w:r>
        <w:t xml:space="preserve"> </w:t>
      </w:r>
    </w:p>
  </w:footnote>
  <w:footnote w:id="8">
    <w:p w14:paraId="6A31D59E" w14:textId="0CD067CA" w:rsidR="00523B2B" w:rsidRDefault="00523B2B" w:rsidP="00BF0CED">
      <w:pPr>
        <w:pStyle w:val="FootnoteText"/>
        <w:spacing w:after="60" w:line="240" w:lineRule="auto"/>
      </w:pPr>
      <w:r>
        <w:rPr>
          <w:rStyle w:val="FootnoteReference"/>
        </w:rPr>
        <w:footnoteRef/>
      </w:r>
      <w:r>
        <w:t xml:space="preserve"> </w:t>
      </w:r>
      <w:r w:rsidRPr="009A73A9">
        <w:rPr>
          <w:i/>
        </w:rPr>
        <w:t>National Disability Insurance Scheme Amendment (Quality and Safeguards Commission and Other Measures) Bill 2017</w:t>
      </w:r>
      <w:r>
        <w:t xml:space="preserve">, </w:t>
      </w:r>
      <w:proofErr w:type="gramStart"/>
      <w:r>
        <w:t>s.181K(</w:t>
      </w:r>
      <w:proofErr w:type="gramEnd"/>
      <w:r>
        <w:t xml:space="preserve">1). </w:t>
      </w:r>
    </w:p>
  </w:footnote>
  <w:footnote w:id="9">
    <w:p w14:paraId="13D8204A" w14:textId="3636F41B" w:rsidR="00523B2B" w:rsidRDefault="00523B2B" w:rsidP="00BF0CED">
      <w:pPr>
        <w:pStyle w:val="FootnoteText"/>
        <w:spacing w:after="60" w:line="240" w:lineRule="auto"/>
      </w:pPr>
      <w:r>
        <w:rPr>
          <w:rStyle w:val="FootnoteReference"/>
        </w:rPr>
        <w:footnoteRef/>
      </w:r>
      <w:r>
        <w:t xml:space="preserve"> </w:t>
      </w:r>
      <w:proofErr w:type="gramStart"/>
      <w:r>
        <w:t xml:space="preserve">Explanatory Memorandum, </w:t>
      </w:r>
      <w:r w:rsidRPr="009A73A9">
        <w:rPr>
          <w:i/>
        </w:rPr>
        <w:t>National Disability Insurance Scheme Amendment (Quality and Safeguards Commission and Other Measures) Bill 2017</w:t>
      </w:r>
      <w:r>
        <w:t xml:space="preserve">, </w:t>
      </w:r>
      <w:proofErr w:type="spellStart"/>
      <w:r>
        <w:t>paras</w:t>
      </w:r>
      <w:proofErr w:type="spellEnd"/>
      <w:r>
        <w:t xml:space="preserve"> 337 and 338, p. 59.</w:t>
      </w:r>
      <w:proofErr w:type="gramEnd"/>
    </w:p>
  </w:footnote>
  <w:footnote w:id="10">
    <w:p w14:paraId="33A1BFDD" w14:textId="0203868E" w:rsidR="00523B2B" w:rsidRDefault="00523B2B" w:rsidP="00EE68F9">
      <w:pPr>
        <w:pStyle w:val="FootnoteText"/>
        <w:spacing w:after="0" w:line="240" w:lineRule="auto"/>
      </w:pPr>
      <w:r>
        <w:rPr>
          <w:rStyle w:val="FootnoteReference"/>
        </w:rPr>
        <w:footnoteRef/>
      </w:r>
      <w:r>
        <w:t xml:space="preserve"> </w:t>
      </w:r>
      <w:proofErr w:type="gramStart"/>
      <w:r>
        <w:t xml:space="preserve">Ibid, </w:t>
      </w:r>
      <w:proofErr w:type="spellStart"/>
      <w:r>
        <w:t>para</w:t>
      </w:r>
      <w:proofErr w:type="spellEnd"/>
      <w:r>
        <w:t xml:space="preserve"> 318, p. 55.</w:t>
      </w:r>
      <w:proofErr w:type="gramEnd"/>
    </w:p>
  </w:footnote>
  <w:footnote w:id="11">
    <w:p w14:paraId="271A2731" w14:textId="667281B7" w:rsidR="00523B2B" w:rsidRDefault="00523B2B" w:rsidP="00BF0CED">
      <w:pPr>
        <w:pStyle w:val="FootnoteText"/>
        <w:spacing w:after="60" w:line="240" w:lineRule="auto"/>
      </w:pPr>
      <w:r>
        <w:rPr>
          <w:rStyle w:val="FootnoteReference"/>
        </w:rPr>
        <w:footnoteRef/>
      </w:r>
      <w:r>
        <w:t xml:space="preserve"> </w:t>
      </w:r>
      <w:proofErr w:type="gramStart"/>
      <w:r>
        <w:t>Ibid, pp. 55-56.</w:t>
      </w:r>
      <w:proofErr w:type="gramEnd"/>
    </w:p>
  </w:footnote>
  <w:footnote w:id="12">
    <w:p w14:paraId="17626DCE" w14:textId="1A1492B6" w:rsidR="00523B2B" w:rsidRDefault="00523B2B" w:rsidP="00BF0CED">
      <w:pPr>
        <w:pStyle w:val="FootnoteText"/>
        <w:spacing w:after="60" w:line="240" w:lineRule="auto"/>
      </w:pPr>
      <w:r>
        <w:rPr>
          <w:rStyle w:val="FootnoteReference"/>
        </w:rPr>
        <w:footnoteRef/>
      </w:r>
      <w:r>
        <w:t xml:space="preserve"> For further discussion on restrictive practices, human rights and torture, see </w:t>
      </w:r>
      <w:proofErr w:type="spellStart"/>
      <w:r>
        <w:t>e.g</w:t>
      </w:r>
      <w:proofErr w:type="spellEnd"/>
      <w:r>
        <w:t xml:space="preserve">: Phillip French, Julie </w:t>
      </w:r>
      <w:proofErr w:type="spellStart"/>
      <w:r>
        <w:t>Dardel</w:t>
      </w:r>
      <w:proofErr w:type="spellEnd"/>
      <w:r w:rsidRPr="00764326">
        <w:t xml:space="preserve"> &amp; Sonya Price-Kelly, </w:t>
      </w:r>
      <w:r>
        <w:t>“</w:t>
      </w:r>
      <w:r w:rsidRPr="00764326">
        <w:t>Rights Denied: Towards a National Policy Agenda about Abuse, Neglect &amp; Exploitation of Persons with Cognitive Impairment</w:t>
      </w:r>
      <w:r>
        <w:t>”</w:t>
      </w:r>
      <w:r w:rsidRPr="00764326">
        <w:t>, People with Disability Australia (2010)</w:t>
      </w:r>
      <w:r>
        <w:t xml:space="preserve">; </w:t>
      </w:r>
      <w:r w:rsidRPr="00764326">
        <w:t>Fr</w:t>
      </w:r>
      <w:r>
        <w:t xml:space="preserve">ohmader, C., &amp; Sands, T. (2015), op. </w:t>
      </w:r>
      <w:proofErr w:type="spellStart"/>
      <w:r>
        <w:t>cit</w:t>
      </w:r>
      <w:proofErr w:type="spellEnd"/>
      <w:r>
        <w:t>; People with</w:t>
      </w:r>
    </w:p>
    <w:p w14:paraId="0405E0F9" w14:textId="7EE16CFD" w:rsidR="00523B2B" w:rsidRDefault="00523B2B" w:rsidP="00BF0CED">
      <w:pPr>
        <w:pStyle w:val="FootnoteText"/>
        <w:spacing w:after="60" w:line="240" w:lineRule="auto"/>
      </w:pPr>
      <w:r>
        <w:t>Disability Australia, ‘Consideration of the 4</w:t>
      </w:r>
      <w:r w:rsidRPr="00764326">
        <w:rPr>
          <w:vertAlign w:val="superscript"/>
        </w:rPr>
        <w:t>th</w:t>
      </w:r>
      <w:r>
        <w:t xml:space="preserve"> and 5</w:t>
      </w:r>
      <w:r w:rsidRPr="00764326">
        <w:rPr>
          <w:vertAlign w:val="superscript"/>
        </w:rPr>
        <w:t>th</w:t>
      </w:r>
      <w:r>
        <w:t xml:space="preserve"> Reports of Australia by the Committee </w:t>
      </w:r>
      <w:proofErr w:type="gramStart"/>
      <w:r>
        <w:t>to  the</w:t>
      </w:r>
      <w:proofErr w:type="gramEnd"/>
      <w:r>
        <w:t xml:space="preserve"> Convention Against Torture’ Submission, (October 2014); Juan E. Mendez, Special Rapporteur, Report of the Special Rapporteur on torture and other cruel, inhuman or degrading treatment or punishment, 22</w:t>
      </w:r>
      <w:r w:rsidRPr="005F1C1A">
        <w:rPr>
          <w:vertAlign w:val="superscript"/>
        </w:rPr>
        <w:t>nd</w:t>
      </w:r>
      <w:r>
        <w:t xml:space="preserve"> </w:t>
      </w:r>
      <w:proofErr w:type="spellStart"/>
      <w:r>
        <w:t>sess</w:t>
      </w:r>
      <w:proofErr w:type="spellEnd"/>
      <w:r>
        <w:t>, UN Doc A/HRC/22/53 (1 February 2013).</w:t>
      </w:r>
    </w:p>
  </w:footnote>
  <w:footnote w:id="13">
    <w:p w14:paraId="3D07AEB7" w14:textId="4FA531DB" w:rsidR="00523B2B" w:rsidRDefault="00523B2B" w:rsidP="00BF0CED">
      <w:pPr>
        <w:pStyle w:val="FootnoteText"/>
        <w:spacing w:after="60" w:line="240" w:lineRule="auto"/>
      </w:pPr>
      <w:r>
        <w:rPr>
          <w:rStyle w:val="FootnoteReference"/>
        </w:rPr>
        <w:footnoteRef/>
      </w:r>
      <w:r>
        <w:t xml:space="preserve"> </w:t>
      </w:r>
      <w:proofErr w:type="gramStart"/>
      <w:r w:rsidRPr="00764326">
        <w:t>Phil</w:t>
      </w:r>
      <w:r>
        <w:t>l</w:t>
      </w:r>
      <w:r w:rsidRPr="00764326">
        <w:t xml:space="preserve">ip French, Julie </w:t>
      </w:r>
      <w:proofErr w:type="spellStart"/>
      <w:r w:rsidRPr="00764326">
        <w:t>Dardel</w:t>
      </w:r>
      <w:proofErr w:type="spellEnd"/>
      <w:r w:rsidRPr="00764326">
        <w:t xml:space="preserve">, &amp; Sonya Price-Kelly, </w:t>
      </w:r>
      <w:r>
        <w:t>op. cit.</w:t>
      </w:r>
      <w:proofErr w:type="gramEnd"/>
      <w:r>
        <w:t xml:space="preserve"> </w:t>
      </w:r>
    </w:p>
  </w:footnote>
  <w:footnote w:id="14">
    <w:p w14:paraId="204F7C2C" w14:textId="29AF243F" w:rsidR="00523B2B" w:rsidRDefault="00523B2B" w:rsidP="00BF0CED">
      <w:pPr>
        <w:pStyle w:val="FootnoteText"/>
        <w:spacing w:after="60" w:line="240" w:lineRule="auto"/>
      </w:pPr>
      <w:r>
        <w:rPr>
          <w:rStyle w:val="FootnoteReference"/>
        </w:rPr>
        <w:footnoteRef/>
      </w:r>
      <w:r>
        <w:t xml:space="preserve"> </w:t>
      </w:r>
      <w:proofErr w:type="gramStart"/>
      <w:r>
        <w:t xml:space="preserve">Explanatory Memorandum, op. </w:t>
      </w:r>
      <w:proofErr w:type="spellStart"/>
      <w:r>
        <w:t>cit</w:t>
      </w:r>
      <w:proofErr w:type="spellEnd"/>
      <w:r>
        <w:t xml:space="preserve">, </w:t>
      </w:r>
      <w:proofErr w:type="spellStart"/>
      <w:r>
        <w:t>paras</w:t>
      </w:r>
      <w:proofErr w:type="spellEnd"/>
      <w:r>
        <w:t xml:space="preserve"> 319 and 320, p. 56.</w:t>
      </w:r>
      <w:proofErr w:type="gramEnd"/>
    </w:p>
  </w:footnote>
  <w:footnote w:id="15">
    <w:p w14:paraId="1C342B1D" w14:textId="529BCBFA" w:rsidR="00523B2B" w:rsidRDefault="00523B2B" w:rsidP="00BF0CED">
      <w:pPr>
        <w:pStyle w:val="FootnoteText"/>
        <w:spacing w:after="60" w:line="240" w:lineRule="auto"/>
      </w:pPr>
      <w:r>
        <w:rPr>
          <w:rStyle w:val="FootnoteReference"/>
        </w:rPr>
        <w:footnoteRef/>
      </w:r>
      <w:r>
        <w:t xml:space="preserve"> </w:t>
      </w:r>
      <w:proofErr w:type="gramStart"/>
      <w:r>
        <w:t xml:space="preserve">Committee on the Rights of Persons with Disabilities, UN Doc CRPD/C/AUS/CO/1, </w:t>
      </w:r>
      <w:proofErr w:type="spellStart"/>
      <w:r>
        <w:t>para</w:t>
      </w:r>
      <w:proofErr w:type="spellEnd"/>
      <w:r>
        <w:t xml:space="preserve"> 36.</w:t>
      </w:r>
      <w:proofErr w:type="gramEnd"/>
    </w:p>
  </w:footnote>
  <w:footnote w:id="16">
    <w:p w14:paraId="647C4D7A" w14:textId="22D6B340" w:rsidR="00523B2B" w:rsidRDefault="00523B2B" w:rsidP="00BF0CED">
      <w:pPr>
        <w:pStyle w:val="FootnoteText"/>
        <w:spacing w:after="60" w:line="240" w:lineRule="auto"/>
      </w:pPr>
      <w:r>
        <w:rPr>
          <w:rStyle w:val="FootnoteReference"/>
        </w:rPr>
        <w:footnoteRef/>
      </w:r>
      <w:r>
        <w:t xml:space="preserve"> Recommendation on page 97 contained in Phillip French et.al, op. </w:t>
      </w:r>
      <w:proofErr w:type="spellStart"/>
      <w:r>
        <w:t>cit</w:t>
      </w:r>
      <w:proofErr w:type="spellEnd"/>
      <w:r>
        <w:t>, outlines prohibited practices should include practices that are experimental; that cause pain or discomfit; that are cruel, inhuman, degrading or humiliating; that result in emotional or psychological deprivation or other harm; physical restraint; and seclusion.</w:t>
      </w:r>
    </w:p>
  </w:footnote>
  <w:footnote w:id="17">
    <w:p w14:paraId="53BCC218" w14:textId="7D5040EC" w:rsidR="00523B2B" w:rsidRDefault="00523B2B" w:rsidP="00BF0CED">
      <w:pPr>
        <w:pStyle w:val="FootnoteText"/>
        <w:spacing w:after="60" w:line="240" w:lineRule="auto"/>
      </w:pPr>
      <w:r>
        <w:rPr>
          <w:rStyle w:val="FootnoteReference"/>
        </w:rPr>
        <w:footnoteRef/>
      </w:r>
      <w:r>
        <w:t xml:space="preserve"> Alexandra Beech, ‘OPCAT: Australia makes long-awaited pledge </w:t>
      </w:r>
      <w:proofErr w:type="gramStart"/>
      <w:r>
        <w:t>to  ratify</w:t>
      </w:r>
      <w:proofErr w:type="gramEnd"/>
      <w:r>
        <w:t xml:space="preserve"> international torture treaty’, ABC News, February 9, 2017, </w:t>
      </w:r>
      <w:hyperlink r:id="rId6" w:history="1">
        <w:r w:rsidRPr="00F73A38">
          <w:rPr>
            <w:rStyle w:val="Hyperlink"/>
          </w:rPr>
          <w:t>http://www.abc.net.au/news/2017-02-09/australia-pledges-to-ratify-opcat-torture-treaty/8255782</w:t>
        </w:r>
      </w:hyperlink>
      <w:r>
        <w:t xml:space="preserve"> </w:t>
      </w:r>
    </w:p>
  </w:footnote>
  <w:footnote w:id="18">
    <w:p w14:paraId="11C6472C" w14:textId="148ABBFE" w:rsidR="00523B2B" w:rsidRDefault="00523B2B" w:rsidP="00321CC6">
      <w:pPr>
        <w:pStyle w:val="FootnoteText"/>
        <w:spacing w:after="60" w:line="240" w:lineRule="auto"/>
      </w:pPr>
      <w:r>
        <w:rPr>
          <w:rStyle w:val="FootnoteReference"/>
        </w:rPr>
        <w:footnoteRef/>
      </w:r>
      <w:r>
        <w:t xml:space="preserve"> While the Convention Against Torture (CAT) is not one of the treaties list in section 3(</w:t>
      </w:r>
      <w:proofErr w:type="spellStart"/>
      <w:r>
        <w:t>i</w:t>
      </w:r>
      <w:proofErr w:type="spellEnd"/>
      <w:r>
        <w:t>)(</w:t>
      </w:r>
      <w:proofErr w:type="spellStart"/>
      <w:r>
        <w:t>i</w:t>
      </w:r>
      <w:proofErr w:type="spellEnd"/>
      <w:r>
        <w:t xml:space="preserve">) of the NDIS Act, article 15 of the CRPD incorporates and applies CAT to the specific situation of people with disability.  </w:t>
      </w:r>
    </w:p>
  </w:footnote>
  <w:footnote w:id="19">
    <w:p w14:paraId="534AF0DA" w14:textId="7164C6E0" w:rsidR="00523B2B" w:rsidRDefault="00523B2B" w:rsidP="00A30FBB">
      <w:pPr>
        <w:pStyle w:val="FootnoteText"/>
        <w:spacing w:after="60" w:line="240" w:lineRule="auto"/>
      </w:pPr>
      <w:r>
        <w:rPr>
          <w:rStyle w:val="FootnoteReference"/>
        </w:rPr>
        <w:footnoteRef/>
      </w:r>
      <w:r>
        <w:t xml:space="preserve"> </w:t>
      </w:r>
      <w:proofErr w:type="gramStart"/>
      <w:r>
        <w:t xml:space="preserve">Committee on the Rights of Persons with </w:t>
      </w:r>
      <w:proofErr w:type="spellStart"/>
      <w:r>
        <w:t>Disabilites</w:t>
      </w:r>
      <w:proofErr w:type="spellEnd"/>
      <w:r>
        <w:t xml:space="preserve">, op. cit., </w:t>
      </w:r>
      <w:proofErr w:type="spellStart"/>
      <w:r>
        <w:t>para</w:t>
      </w:r>
      <w:proofErr w:type="spellEnd"/>
      <w:r>
        <w:t xml:space="preserve"> 36.</w:t>
      </w:r>
      <w:proofErr w:type="gramEnd"/>
    </w:p>
  </w:footnote>
  <w:footnote w:id="20">
    <w:p w14:paraId="092B3528" w14:textId="01A1DD8D" w:rsidR="00523B2B" w:rsidRDefault="00523B2B" w:rsidP="00A30FBB">
      <w:pPr>
        <w:pStyle w:val="FootnoteText"/>
        <w:spacing w:after="60" w:line="240" w:lineRule="auto"/>
      </w:pPr>
      <w:r>
        <w:rPr>
          <w:rStyle w:val="FootnoteReference"/>
        </w:rPr>
        <w:footnoteRef/>
      </w:r>
      <w:r>
        <w:t xml:space="preserve"> Department of Social Services, “NDIS Quality and Safeguarding Framework”, 9 December 2016, </w:t>
      </w:r>
      <w:hyperlink r:id="rId7" w:history="1">
        <w:r w:rsidRPr="00F73A38">
          <w:rPr>
            <w:rStyle w:val="Hyperlink"/>
          </w:rPr>
          <w:t>https://www.dss.gov.au/sites/default/files/documents/04_2017/ndis_quality_and_safeguarding_framework_final.pdf</w:t>
        </w:r>
      </w:hyperlink>
      <w:r>
        <w:t xml:space="preserve"> </w:t>
      </w:r>
    </w:p>
  </w:footnote>
  <w:footnote w:id="21">
    <w:p w14:paraId="5A1771A4" w14:textId="34DD79C5" w:rsidR="00523B2B" w:rsidRDefault="00523B2B" w:rsidP="00A30FBB">
      <w:pPr>
        <w:pStyle w:val="FootnoteText"/>
        <w:spacing w:after="0" w:line="240" w:lineRule="auto"/>
      </w:pPr>
      <w:r>
        <w:rPr>
          <w:rStyle w:val="FootnoteReference"/>
        </w:rPr>
        <w:footnoteRef/>
      </w:r>
      <w:r>
        <w:t xml:space="preserve"> </w:t>
      </w:r>
      <w:proofErr w:type="gramStart"/>
      <w:r w:rsidRPr="009A73A9">
        <w:rPr>
          <w:i/>
        </w:rPr>
        <w:t>National Disability Insurance Scheme Amendment (Quality and Safeguards Commission and Other Measures) Bill 2017</w:t>
      </w:r>
      <w:r>
        <w:t>, s. 73ZA(1).</w:t>
      </w:r>
      <w:proofErr w:type="gramEnd"/>
    </w:p>
  </w:footnote>
  <w:footnote w:id="22">
    <w:p w14:paraId="0117D4F3" w14:textId="6FA4F03D" w:rsidR="00523B2B" w:rsidRDefault="00523B2B" w:rsidP="001F46AB">
      <w:pPr>
        <w:pStyle w:val="FootnoteText"/>
        <w:spacing w:after="60" w:line="240" w:lineRule="auto"/>
      </w:pPr>
      <w:r>
        <w:rPr>
          <w:rStyle w:val="FootnoteReference"/>
        </w:rPr>
        <w:footnoteRef/>
      </w:r>
      <w:r>
        <w:t xml:space="preserve"> </w:t>
      </w:r>
      <w:r w:rsidRPr="00180B83">
        <w:t>Australian</w:t>
      </w:r>
      <w:r>
        <w:t xml:space="preserve"> </w:t>
      </w:r>
      <w:r w:rsidRPr="00180B83">
        <w:t>Law</w:t>
      </w:r>
      <w:r>
        <w:t xml:space="preserve"> </w:t>
      </w:r>
      <w:r w:rsidRPr="00180B83">
        <w:t>Reform</w:t>
      </w:r>
      <w:r>
        <w:t xml:space="preserve"> </w:t>
      </w:r>
      <w:r w:rsidRPr="00180B83">
        <w:t>Commission,</w:t>
      </w:r>
      <w:r>
        <w:t xml:space="preserve"> </w:t>
      </w:r>
      <w:r w:rsidRPr="00180B83">
        <w:rPr>
          <w:i/>
          <w:iCs/>
        </w:rPr>
        <w:t>Equality,</w:t>
      </w:r>
      <w:r>
        <w:rPr>
          <w:i/>
          <w:iCs/>
        </w:rPr>
        <w:t xml:space="preserve"> </w:t>
      </w:r>
      <w:r w:rsidRPr="00180B83">
        <w:rPr>
          <w:i/>
          <w:iCs/>
        </w:rPr>
        <w:t>Capacity</w:t>
      </w:r>
      <w:r>
        <w:rPr>
          <w:i/>
          <w:iCs/>
        </w:rPr>
        <w:t xml:space="preserve"> </w:t>
      </w:r>
      <w:r w:rsidRPr="00180B83">
        <w:rPr>
          <w:i/>
          <w:iCs/>
        </w:rPr>
        <w:t>and</w:t>
      </w:r>
      <w:r>
        <w:rPr>
          <w:i/>
          <w:iCs/>
        </w:rPr>
        <w:t xml:space="preserve"> </w:t>
      </w:r>
      <w:r w:rsidRPr="00180B83">
        <w:rPr>
          <w:i/>
          <w:iCs/>
        </w:rPr>
        <w:t>Disability</w:t>
      </w:r>
      <w:r>
        <w:rPr>
          <w:i/>
          <w:iCs/>
        </w:rPr>
        <w:t xml:space="preserve"> </w:t>
      </w:r>
      <w:r w:rsidRPr="00180B83">
        <w:rPr>
          <w:i/>
          <w:iCs/>
        </w:rPr>
        <w:t>in</w:t>
      </w:r>
      <w:r>
        <w:rPr>
          <w:i/>
          <w:iCs/>
        </w:rPr>
        <w:t xml:space="preserve"> </w:t>
      </w:r>
      <w:r w:rsidRPr="00180B83">
        <w:rPr>
          <w:i/>
          <w:iCs/>
        </w:rPr>
        <w:t>Commonwealth</w:t>
      </w:r>
      <w:r>
        <w:rPr>
          <w:i/>
          <w:iCs/>
        </w:rPr>
        <w:t xml:space="preserve"> </w:t>
      </w:r>
      <w:r w:rsidRPr="00180B83">
        <w:rPr>
          <w:i/>
          <w:iCs/>
        </w:rPr>
        <w:t>Laws</w:t>
      </w:r>
      <w:r>
        <w:rPr>
          <w:i/>
          <w:iCs/>
        </w:rPr>
        <w:t xml:space="preserve"> </w:t>
      </w:r>
      <w:r w:rsidRPr="00180B83">
        <w:t>(2014),</w:t>
      </w:r>
      <w:r>
        <w:t xml:space="preserve"> </w:t>
      </w:r>
      <w:r w:rsidRPr="00180B83">
        <w:t>Commonwealth</w:t>
      </w:r>
      <w:r>
        <w:t xml:space="preserve"> </w:t>
      </w:r>
      <w:r w:rsidRPr="00180B83">
        <w:t>of</w:t>
      </w:r>
      <w:r>
        <w:t xml:space="preserve"> </w:t>
      </w:r>
      <w:r w:rsidRPr="00180B83">
        <w:t>Australia,</w:t>
      </w:r>
      <w:r>
        <w:t xml:space="preserve"> </w:t>
      </w:r>
      <w:hyperlink r:id="rId8" w:history="1">
        <w:r w:rsidRPr="00F73A38">
          <w:rPr>
            <w:rStyle w:val="Hyperlink"/>
          </w:rPr>
          <w:t>https://www.alrc.gov.au/publications/equality-capacity-disability-report-124</w:t>
        </w:r>
      </w:hyperlink>
      <w:r>
        <w:t xml:space="preserve"> </w:t>
      </w:r>
    </w:p>
  </w:footnote>
  <w:footnote w:id="23">
    <w:p w14:paraId="429E7536" w14:textId="459F93EB" w:rsidR="00523B2B" w:rsidRDefault="00523B2B" w:rsidP="001F46AB">
      <w:pPr>
        <w:pStyle w:val="FootnoteText"/>
        <w:spacing w:after="60" w:line="240" w:lineRule="auto"/>
      </w:pPr>
      <w:r>
        <w:rPr>
          <w:rStyle w:val="FootnoteReference"/>
        </w:rPr>
        <w:footnoteRef/>
      </w:r>
      <w:r>
        <w:t xml:space="preserve"> Ibid, p. 11</w:t>
      </w:r>
    </w:p>
  </w:footnote>
  <w:footnote w:id="24">
    <w:p w14:paraId="66C41307" w14:textId="7A069ECB" w:rsidR="00523B2B" w:rsidRDefault="00523B2B" w:rsidP="001F46AB">
      <w:pPr>
        <w:pStyle w:val="FootnoteText"/>
        <w:spacing w:after="60" w:line="240" w:lineRule="auto"/>
      </w:pPr>
      <w:r>
        <w:rPr>
          <w:rStyle w:val="FootnoteReference"/>
        </w:rPr>
        <w:footnoteRef/>
      </w:r>
      <w:r>
        <w:t xml:space="preserve"> </w:t>
      </w:r>
      <w:proofErr w:type="gramStart"/>
      <w:r>
        <w:t>Ernst &amp; Young, “Independent review of the NDIS Act”, December 2015, Department of Social Services, p. 68.</w:t>
      </w:r>
      <w:proofErr w:type="gramEnd"/>
    </w:p>
  </w:footnote>
  <w:footnote w:id="25">
    <w:p w14:paraId="44CAFF6C" w14:textId="48141E89" w:rsidR="00523B2B" w:rsidRDefault="00523B2B" w:rsidP="001F46AB">
      <w:pPr>
        <w:pStyle w:val="FootnoteText"/>
        <w:spacing w:after="60" w:line="240" w:lineRule="auto"/>
      </w:pPr>
      <w:r>
        <w:rPr>
          <w:rStyle w:val="FootnoteReference"/>
        </w:rPr>
        <w:footnoteRef/>
      </w:r>
      <w:r>
        <w:t xml:space="preserve"> Explanatory Memorandum, op. cit., p. 68.</w:t>
      </w:r>
    </w:p>
  </w:footnote>
  <w:footnote w:id="26">
    <w:p w14:paraId="14BD1070" w14:textId="0BFE69BE" w:rsidR="00523B2B" w:rsidRDefault="00523B2B" w:rsidP="0009454F">
      <w:pPr>
        <w:pStyle w:val="FootnoteText"/>
        <w:spacing w:after="60" w:line="240" w:lineRule="auto"/>
      </w:pPr>
      <w:r>
        <w:rPr>
          <w:rStyle w:val="FootnoteReference"/>
        </w:rPr>
        <w:footnoteRef/>
      </w:r>
      <w:r>
        <w:t xml:space="preserve"> Explanatory Memorandum, ibid, </w:t>
      </w:r>
      <w:proofErr w:type="spellStart"/>
      <w:r>
        <w:t>para</w:t>
      </w:r>
      <w:proofErr w:type="spellEnd"/>
      <w:r>
        <w:t xml:space="preserve"> 411, p. 74</w:t>
      </w:r>
    </w:p>
  </w:footnote>
  <w:footnote w:id="27">
    <w:p w14:paraId="2B7DAC9C" w14:textId="67A62243" w:rsidR="00523B2B" w:rsidRDefault="00523B2B" w:rsidP="0009454F">
      <w:pPr>
        <w:pStyle w:val="FootnoteText"/>
        <w:spacing w:after="0" w:line="240" w:lineRule="auto"/>
      </w:pPr>
      <w:r>
        <w:rPr>
          <w:rStyle w:val="FootnoteReference"/>
        </w:rPr>
        <w:footnoteRef/>
      </w:r>
      <w:r>
        <w:t xml:space="preserve"> Ibid, </w:t>
      </w:r>
      <w:proofErr w:type="spellStart"/>
      <w:r>
        <w:t>para</w:t>
      </w:r>
      <w:proofErr w:type="spellEnd"/>
      <w:r>
        <w:t xml:space="preserve"> 412, p.74</w:t>
      </w:r>
    </w:p>
  </w:footnote>
  <w:footnote w:id="28">
    <w:p w14:paraId="6491FD85" w14:textId="3D9E40BC" w:rsidR="00523B2B" w:rsidRDefault="00523B2B" w:rsidP="007A05FC">
      <w:pPr>
        <w:pStyle w:val="FootnoteText"/>
        <w:spacing w:after="60" w:line="240" w:lineRule="auto"/>
      </w:pPr>
      <w:r>
        <w:rPr>
          <w:rStyle w:val="FootnoteReference"/>
        </w:rPr>
        <w:footnoteRef/>
      </w:r>
      <w:r>
        <w:t xml:space="preserve"> We note that case studies that illustrate and examine this issue are included in the submission provided by Community Mental Health Australia (CMHA).</w:t>
      </w:r>
    </w:p>
  </w:footnote>
  <w:footnote w:id="29">
    <w:p w14:paraId="091FCCAB" w14:textId="626FA8B4" w:rsidR="00523B2B" w:rsidRDefault="00523B2B" w:rsidP="007A05FC">
      <w:pPr>
        <w:pStyle w:val="FootnoteText"/>
        <w:spacing w:after="60" w:line="240" w:lineRule="auto"/>
      </w:pPr>
      <w:r>
        <w:rPr>
          <w:rStyle w:val="FootnoteReference"/>
        </w:rPr>
        <w:footnoteRef/>
      </w:r>
      <w:r>
        <w:t xml:space="preserve"> Civil Society Statement to the Australian Government, May 2017, op. cit., </w:t>
      </w:r>
      <w:hyperlink r:id="rId9" w:history="1">
        <w:r w:rsidRPr="00F73A38">
          <w:rPr>
            <w:rStyle w:val="Hyperlink"/>
          </w:rPr>
          <w:t>http://dpoa.org.au/call-for-stronger-engagement-with-people-with-disability-in-the-national-disability-insurance-scheme-ndis/</w:t>
        </w:r>
      </w:hyperlink>
      <w:r>
        <w:t xml:space="preserve"> </w:t>
      </w:r>
    </w:p>
  </w:footnote>
  <w:footnote w:id="30">
    <w:p w14:paraId="50A6DADF" w14:textId="7E7EC18F" w:rsidR="00523B2B" w:rsidRDefault="00523B2B" w:rsidP="007A05FC">
      <w:pPr>
        <w:pStyle w:val="FootnoteText"/>
        <w:spacing w:after="0" w:line="240" w:lineRule="auto"/>
      </w:pPr>
      <w:r>
        <w:rPr>
          <w:rStyle w:val="FootnoteReference"/>
        </w:rPr>
        <w:footnoteRef/>
      </w:r>
      <w:r>
        <w:t xml:space="preserve"> Ibid, p. 2</w:t>
      </w:r>
    </w:p>
  </w:footnote>
  <w:footnote w:id="31">
    <w:p w14:paraId="46FE2C86" w14:textId="63BFF2EC" w:rsidR="00523B2B" w:rsidRPr="00F34886" w:rsidRDefault="00523B2B" w:rsidP="00F34886">
      <w:pPr>
        <w:pStyle w:val="FootnoteText"/>
        <w:spacing w:after="60" w:line="240" w:lineRule="auto"/>
      </w:pPr>
      <w:r w:rsidRPr="00F34886">
        <w:rPr>
          <w:rStyle w:val="FootnoteReference"/>
        </w:rPr>
        <w:footnoteRef/>
      </w:r>
      <w:r w:rsidRPr="00F34886">
        <w:t xml:space="preserve"> </w:t>
      </w:r>
      <w:proofErr w:type="gramStart"/>
      <w:r w:rsidRPr="00F34886">
        <w:t xml:space="preserve">Explanatory Memorandum, op. cit., </w:t>
      </w:r>
      <w:proofErr w:type="spellStart"/>
      <w:r w:rsidRPr="00F34886">
        <w:t>para</w:t>
      </w:r>
      <w:proofErr w:type="spellEnd"/>
      <w:r w:rsidRPr="00F34886">
        <w:t xml:space="preserve"> 402, p. 72.</w:t>
      </w:r>
      <w:proofErr w:type="gramEnd"/>
    </w:p>
  </w:footnote>
  <w:footnote w:id="32">
    <w:p w14:paraId="0A98DEAA" w14:textId="597A44DC" w:rsidR="00523B2B" w:rsidRPr="00F34886" w:rsidRDefault="00523B2B" w:rsidP="00F34886">
      <w:pPr>
        <w:spacing w:after="60" w:line="240" w:lineRule="auto"/>
        <w:rPr>
          <w:color w:val="000000"/>
          <w:sz w:val="20"/>
          <w:szCs w:val="20"/>
          <w:lang w:val="en-GB"/>
        </w:rPr>
      </w:pPr>
      <w:r w:rsidRPr="00F34886">
        <w:rPr>
          <w:rStyle w:val="FootnoteReference"/>
          <w:sz w:val="20"/>
          <w:szCs w:val="20"/>
        </w:rPr>
        <w:footnoteRef/>
      </w:r>
      <w:r w:rsidRPr="00F34886">
        <w:rPr>
          <w:sz w:val="20"/>
          <w:szCs w:val="20"/>
        </w:rPr>
        <w:t xml:space="preserve"> United Nations Office of the High Commissioner for Human Rights, “</w:t>
      </w:r>
      <w:r w:rsidRPr="00F34886">
        <w:rPr>
          <w:color w:val="000000"/>
          <w:sz w:val="20"/>
          <w:szCs w:val="20"/>
          <w:lang w:val="en-GB"/>
        </w:rPr>
        <w:t xml:space="preserve">Women’s Rights are Human Rights”, 2014, United Nations, p. 35 </w:t>
      </w:r>
    </w:p>
  </w:footnote>
  <w:footnote w:id="33">
    <w:p w14:paraId="74CE0610" w14:textId="3EBFCF6F" w:rsidR="00523B2B" w:rsidRPr="00F34886" w:rsidRDefault="00523B2B" w:rsidP="00210DA7">
      <w:pPr>
        <w:pStyle w:val="FootnoteText"/>
        <w:spacing w:after="60" w:line="240" w:lineRule="auto"/>
      </w:pPr>
      <w:r w:rsidRPr="00F34886">
        <w:rPr>
          <w:rStyle w:val="FootnoteReference"/>
        </w:rPr>
        <w:footnoteRef/>
      </w:r>
      <w:r w:rsidRPr="00F34886">
        <w:t xml:space="preserve"> </w:t>
      </w:r>
      <w:r>
        <w:t>See definitions and discussion in United Nations Office of the High Commissioner for Human Rights, ibid, pp. 36-37: “G</w:t>
      </w:r>
      <w:r w:rsidRPr="00F34886">
        <w:t>ender identity</w:t>
      </w:r>
      <w:r>
        <w:t xml:space="preserve"> reflects a deeply felt and experienced sense of one’s own gender, which may or may not conform with the biological sex one is assigned at birth”: </w:t>
      </w:r>
      <w:r w:rsidRPr="00F34886">
        <w:t xml:space="preserve"> </w:t>
      </w:r>
    </w:p>
  </w:footnote>
  <w:footnote w:id="34">
    <w:p w14:paraId="376EF599" w14:textId="35E4F380" w:rsidR="00523B2B" w:rsidRDefault="00523B2B" w:rsidP="00210DA7">
      <w:pPr>
        <w:pStyle w:val="FootnoteText"/>
        <w:spacing w:after="60" w:line="240" w:lineRule="auto"/>
      </w:pPr>
      <w:r>
        <w:rPr>
          <w:rStyle w:val="FootnoteReference"/>
        </w:rPr>
        <w:footnoteRef/>
      </w:r>
      <w:r>
        <w:t xml:space="preserve"> </w:t>
      </w:r>
      <w:proofErr w:type="gramStart"/>
      <w:r w:rsidRPr="00215964">
        <w:rPr>
          <w:i/>
        </w:rPr>
        <w:t>Sex Discrimination Act 1984</w:t>
      </w:r>
      <w:r>
        <w:t xml:space="preserve"> (</w:t>
      </w:r>
      <w:proofErr w:type="spellStart"/>
      <w:r>
        <w:t>Cth</w:t>
      </w:r>
      <w:proofErr w:type="spellEnd"/>
      <w:r>
        <w:t>), section 3, Objects.</w:t>
      </w:r>
      <w:proofErr w:type="gramEnd"/>
      <w:r>
        <w:t xml:space="preserve"> </w:t>
      </w:r>
    </w:p>
  </w:footnote>
  <w:footnote w:id="35">
    <w:p w14:paraId="626AA6F9" w14:textId="37BF51BE" w:rsidR="00523B2B" w:rsidRDefault="00523B2B" w:rsidP="00210DA7">
      <w:pPr>
        <w:pStyle w:val="FootnoteText"/>
        <w:spacing w:after="60" w:line="240" w:lineRule="auto"/>
      </w:pPr>
      <w:r>
        <w:rPr>
          <w:rStyle w:val="FootnoteReference"/>
        </w:rPr>
        <w:footnoteRef/>
      </w:r>
      <w:r>
        <w:t xml:space="preserve"> </w:t>
      </w:r>
      <w:proofErr w:type="gramStart"/>
      <w:r w:rsidRPr="00215964">
        <w:rPr>
          <w:i/>
        </w:rPr>
        <w:t>Convention on the Rights of Persons with Disabilities</w:t>
      </w:r>
      <w:r>
        <w:t>, UN Doc A/RES/61/106, Preamble (p).</w:t>
      </w:r>
      <w:proofErr w:type="gramEnd"/>
    </w:p>
  </w:footnote>
  <w:footnote w:id="36">
    <w:p w14:paraId="70BEA3A5" w14:textId="702AE207" w:rsidR="00523B2B" w:rsidRDefault="00523B2B" w:rsidP="00210DA7">
      <w:pPr>
        <w:pStyle w:val="FootnoteText"/>
        <w:spacing w:after="0" w:line="240" w:lineRule="auto"/>
      </w:pPr>
      <w:r>
        <w:rPr>
          <w:rStyle w:val="FootnoteReference"/>
        </w:rPr>
        <w:footnoteRef/>
      </w:r>
      <w:r>
        <w:t xml:space="preserve"> Ernst &amp; Young, op. cit., pp. 79-80</w:t>
      </w:r>
    </w:p>
  </w:footnote>
  <w:footnote w:id="37">
    <w:p w14:paraId="4FD05EB0" w14:textId="7B822BC5" w:rsidR="00523B2B" w:rsidRDefault="00523B2B" w:rsidP="00AC0EE2">
      <w:pPr>
        <w:pStyle w:val="FootnoteText"/>
        <w:spacing w:after="60" w:line="240" w:lineRule="auto"/>
      </w:pPr>
      <w:r>
        <w:rPr>
          <w:rStyle w:val="FootnoteReference"/>
        </w:rPr>
        <w:footnoteRef/>
      </w:r>
      <w:r>
        <w:t xml:space="preserve"> </w:t>
      </w:r>
      <w:r w:rsidRPr="00523B2B">
        <w:t>Civil Society Statement to the Australian Government, May 2017, op. cit.,</w:t>
      </w:r>
      <w:r>
        <w:t xml:space="preserve"> p. 4</w:t>
      </w:r>
    </w:p>
  </w:footnote>
  <w:footnote w:id="38">
    <w:p w14:paraId="497031D8" w14:textId="3274F978" w:rsidR="005627FF" w:rsidRDefault="005627FF" w:rsidP="00AC0EE2">
      <w:pPr>
        <w:pStyle w:val="FootnoteText"/>
        <w:spacing w:after="0" w:line="240" w:lineRule="auto"/>
      </w:pPr>
      <w:r>
        <w:rPr>
          <w:rStyle w:val="FootnoteReference"/>
        </w:rPr>
        <w:footnoteRef/>
      </w:r>
      <w:r>
        <w:t xml:space="preserve"> 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63ED"/>
    <w:multiLevelType w:val="hybridMultilevel"/>
    <w:tmpl w:val="6E3C7AA0"/>
    <w:lvl w:ilvl="0" w:tplc="C5DC1016">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447B08"/>
    <w:multiLevelType w:val="hybridMultilevel"/>
    <w:tmpl w:val="3190AE78"/>
    <w:lvl w:ilvl="0" w:tplc="639E2E30">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73F219E"/>
    <w:multiLevelType w:val="hybridMultilevel"/>
    <w:tmpl w:val="4B2898C4"/>
    <w:lvl w:ilvl="0" w:tplc="3314F92A">
      <w:start w:val="1"/>
      <w:numFmt w:val="lowerLetter"/>
      <w:lvlText w:val="%1)"/>
      <w:lvlJc w:val="left"/>
      <w:pPr>
        <w:ind w:left="720" w:hanging="360"/>
      </w:pPr>
      <w:rPr>
        <w:rFonts w:ascii="Calibri" w:eastAsia="Calibri"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98726A2"/>
    <w:multiLevelType w:val="hybridMultilevel"/>
    <w:tmpl w:val="D16A4596"/>
    <w:lvl w:ilvl="0" w:tplc="4914103A">
      <w:start w:val="3"/>
      <w:numFmt w:val="bullet"/>
      <w:lvlText w:val=""/>
      <w:lvlJc w:val="left"/>
      <w:pPr>
        <w:ind w:left="720" w:hanging="360"/>
      </w:pPr>
      <w:rPr>
        <w:rFonts w:ascii="Symbol" w:eastAsia="Calibri"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C33D83"/>
    <w:multiLevelType w:val="hybridMultilevel"/>
    <w:tmpl w:val="365A7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2A337A2"/>
    <w:multiLevelType w:val="hybridMultilevel"/>
    <w:tmpl w:val="23525CB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nsid w:val="1CDE1596"/>
    <w:multiLevelType w:val="hybridMultilevel"/>
    <w:tmpl w:val="9C781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454F32"/>
    <w:multiLevelType w:val="hybridMultilevel"/>
    <w:tmpl w:val="C77C75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B05058"/>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2C767F"/>
    <w:multiLevelType w:val="multilevel"/>
    <w:tmpl w:val="C0145842"/>
    <w:lvl w:ilvl="0">
      <w:start w:val="1"/>
      <w:numFmt w:val="decimal"/>
      <w:pStyle w:val="Heading1"/>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39B4F7E"/>
    <w:multiLevelType w:val="hybridMultilevel"/>
    <w:tmpl w:val="D6C84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A641655"/>
    <w:multiLevelType w:val="hybridMultilevel"/>
    <w:tmpl w:val="4B2898C4"/>
    <w:lvl w:ilvl="0" w:tplc="3314F92A">
      <w:start w:val="1"/>
      <w:numFmt w:val="lowerLetter"/>
      <w:lvlText w:val="%1)"/>
      <w:lvlJc w:val="left"/>
      <w:pPr>
        <w:ind w:left="720" w:hanging="360"/>
      </w:pPr>
      <w:rPr>
        <w:rFonts w:ascii="Calibri" w:eastAsia="Calibri"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F082F46"/>
    <w:multiLevelType w:val="hybridMultilevel"/>
    <w:tmpl w:val="B0DA4B36"/>
    <w:lvl w:ilvl="0" w:tplc="C5DC1016">
      <w:numFmt w:val="bullet"/>
      <w:lvlText w:val=""/>
      <w:lvlJc w:val="left"/>
      <w:pPr>
        <w:ind w:left="1287" w:hanging="360"/>
      </w:pPr>
      <w:rPr>
        <w:rFonts w:ascii="Symbol" w:eastAsia="Calibri" w:hAnsi="Symbol"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50F57F9B"/>
    <w:multiLevelType w:val="hybridMultilevel"/>
    <w:tmpl w:val="5FA48AF8"/>
    <w:lvl w:ilvl="0" w:tplc="ADC85F5A">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54A22137"/>
    <w:multiLevelType w:val="hybridMultilevel"/>
    <w:tmpl w:val="09183A54"/>
    <w:lvl w:ilvl="0" w:tplc="2B06E864">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74A09B7"/>
    <w:multiLevelType w:val="hybridMultilevel"/>
    <w:tmpl w:val="C958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025A3"/>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1BE5E56"/>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33D3213"/>
    <w:multiLevelType w:val="hybridMultilevel"/>
    <w:tmpl w:val="41608D1A"/>
    <w:lvl w:ilvl="0" w:tplc="B9103466">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7E0196C"/>
    <w:multiLevelType w:val="hybridMultilevel"/>
    <w:tmpl w:val="B6A6A1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D3F2E1B"/>
    <w:multiLevelType w:val="hybridMultilevel"/>
    <w:tmpl w:val="84C266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7F744DE7"/>
    <w:multiLevelType w:val="hybridMultilevel"/>
    <w:tmpl w:val="DA70B8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17"/>
  </w:num>
  <w:num w:numId="5">
    <w:abstractNumId w:val="14"/>
  </w:num>
  <w:num w:numId="6">
    <w:abstractNumId w:val="18"/>
  </w:num>
  <w:num w:numId="7">
    <w:abstractNumId w:val="16"/>
  </w:num>
  <w:num w:numId="8">
    <w:abstractNumId w:val="20"/>
  </w:num>
  <w:num w:numId="9">
    <w:abstractNumId w:val="5"/>
  </w:num>
  <w:num w:numId="10">
    <w:abstractNumId w:val="15"/>
  </w:num>
  <w:num w:numId="11">
    <w:abstractNumId w:val="4"/>
  </w:num>
  <w:num w:numId="12">
    <w:abstractNumId w:val="6"/>
  </w:num>
  <w:num w:numId="13">
    <w:abstractNumId w:val="21"/>
  </w:num>
  <w:num w:numId="14">
    <w:abstractNumId w:val="3"/>
  </w:num>
  <w:num w:numId="15">
    <w:abstractNumId w:val="1"/>
  </w:num>
  <w:num w:numId="16">
    <w:abstractNumId w:val="13"/>
  </w:num>
  <w:num w:numId="17">
    <w:abstractNumId w:val="0"/>
  </w:num>
  <w:num w:numId="18">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9"/>
  </w:num>
  <w:num w:numId="21">
    <w:abstractNumId w:val="11"/>
  </w:num>
  <w:num w:numId="22">
    <w:abstractNumId w:val="9"/>
    <w:lvlOverride w:ilvl="0">
      <w:startOverride w:val="3"/>
    </w:lvlOverride>
    <w:lvlOverride w:ilvl="1">
      <w:startOverride w:val="7"/>
    </w:lvlOverride>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59F"/>
    <w:rsid w:val="00001C9C"/>
    <w:rsid w:val="00004DE2"/>
    <w:rsid w:val="00007B29"/>
    <w:rsid w:val="0001000D"/>
    <w:rsid w:val="00016ED4"/>
    <w:rsid w:val="000172E3"/>
    <w:rsid w:val="00021622"/>
    <w:rsid w:val="000221A9"/>
    <w:rsid w:val="00030D04"/>
    <w:rsid w:val="000314D5"/>
    <w:rsid w:val="00033656"/>
    <w:rsid w:val="00041502"/>
    <w:rsid w:val="00042928"/>
    <w:rsid w:val="00056A0C"/>
    <w:rsid w:val="0007183E"/>
    <w:rsid w:val="00074AF4"/>
    <w:rsid w:val="0007530D"/>
    <w:rsid w:val="00075D58"/>
    <w:rsid w:val="00077064"/>
    <w:rsid w:val="0008307F"/>
    <w:rsid w:val="00085049"/>
    <w:rsid w:val="000874A0"/>
    <w:rsid w:val="0009454F"/>
    <w:rsid w:val="000973E7"/>
    <w:rsid w:val="000A1B68"/>
    <w:rsid w:val="000A6C4D"/>
    <w:rsid w:val="000B18A2"/>
    <w:rsid w:val="000B31D8"/>
    <w:rsid w:val="000B48A4"/>
    <w:rsid w:val="000C20EF"/>
    <w:rsid w:val="000C6D8A"/>
    <w:rsid w:val="000D212B"/>
    <w:rsid w:val="000D2F29"/>
    <w:rsid w:val="000E33D0"/>
    <w:rsid w:val="00101687"/>
    <w:rsid w:val="00114B42"/>
    <w:rsid w:val="00120629"/>
    <w:rsid w:val="00132D43"/>
    <w:rsid w:val="00134DAC"/>
    <w:rsid w:val="0014650E"/>
    <w:rsid w:val="001471C5"/>
    <w:rsid w:val="0014777A"/>
    <w:rsid w:val="00150425"/>
    <w:rsid w:val="001618B1"/>
    <w:rsid w:val="00171D13"/>
    <w:rsid w:val="00172FAE"/>
    <w:rsid w:val="00173AA9"/>
    <w:rsid w:val="001776A5"/>
    <w:rsid w:val="00180B83"/>
    <w:rsid w:val="00194C31"/>
    <w:rsid w:val="00195AE3"/>
    <w:rsid w:val="001B1328"/>
    <w:rsid w:val="001B3D2B"/>
    <w:rsid w:val="001C002D"/>
    <w:rsid w:val="001C20A5"/>
    <w:rsid w:val="001D0F09"/>
    <w:rsid w:val="001D5A0E"/>
    <w:rsid w:val="001D7797"/>
    <w:rsid w:val="001F12ED"/>
    <w:rsid w:val="001F1836"/>
    <w:rsid w:val="001F46AB"/>
    <w:rsid w:val="001F69B0"/>
    <w:rsid w:val="00200AB1"/>
    <w:rsid w:val="00204529"/>
    <w:rsid w:val="0020615A"/>
    <w:rsid w:val="002079C7"/>
    <w:rsid w:val="00210DA7"/>
    <w:rsid w:val="00215964"/>
    <w:rsid w:val="00231D18"/>
    <w:rsid w:val="00236EBA"/>
    <w:rsid w:val="00253558"/>
    <w:rsid w:val="002558D2"/>
    <w:rsid w:val="00261C10"/>
    <w:rsid w:val="00263B17"/>
    <w:rsid w:val="00274BF8"/>
    <w:rsid w:val="00285601"/>
    <w:rsid w:val="00291C5D"/>
    <w:rsid w:val="00296047"/>
    <w:rsid w:val="002970BC"/>
    <w:rsid w:val="002A5EBB"/>
    <w:rsid w:val="002A63E9"/>
    <w:rsid w:val="002B6A0B"/>
    <w:rsid w:val="002C7383"/>
    <w:rsid w:val="002D02D9"/>
    <w:rsid w:val="002D2E2E"/>
    <w:rsid w:val="002D3616"/>
    <w:rsid w:val="002D6D7D"/>
    <w:rsid w:val="002F2AA4"/>
    <w:rsid w:val="0031358E"/>
    <w:rsid w:val="00321CC6"/>
    <w:rsid w:val="00324269"/>
    <w:rsid w:val="0032799A"/>
    <w:rsid w:val="003323C4"/>
    <w:rsid w:val="00332C68"/>
    <w:rsid w:val="00336B98"/>
    <w:rsid w:val="00344001"/>
    <w:rsid w:val="00350A0F"/>
    <w:rsid w:val="003556CA"/>
    <w:rsid w:val="003635ED"/>
    <w:rsid w:val="0036535D"/>
    <w:rsid w:val="00365BD5"/>
    <w:rsid w:val="00370155"/>
    <w:rsid w:val="003828F2"/>
    <w:rsid w:val="0038760F"/>
    <w:rsid w:val="0039461C"/>
    <w:rsid w:val="003B2C8F"/>
    <w:rsid w:val="003B6ED0"/>
    <w:rsid w:val="003D0F8B"/>
    <w:rsid w:val="003D37F1"/>
    <w:rsid w:val="003D7FC1"/>
    <w:rsid w:val="003E1B04"/>
    <w:rsid w:val="003E3B99"/>
    <w:rsid w:val="003E4DFB"/>
    <w:rsid w:val="003E6D10"/>
    <w:rsid w:val="003F0482"/>
    <w:rsid w:val="003F7FBD"/>
    <w:rsid w:val="0040064D"/>
    <w:rsid w:val="004007B0"/>
    <w:rsid w:val="004040E4"/>
    <w:rsid w:val="0041325C"/>
    <w:rsid w:val="00413606"/>
    <w:rsid w:val="0041763B"/>
    <w:rsid w:val="00421285"/>
    <w:rsid w:val="00426153"/>
    <w:rsid w:val="00430F14"/>
    <w:rsid w:val="0043340D"/>
    <w:rsid w:val="00433BE0"/>
    <w:rsid w:val="00440153"/>
    <w:rsid w:val="004458E1"/>
    <w:rsid w:val="00446178"/>
    <w:rsid w:val="004461D5"/>
    <w:rsid w:val="00452B76"/>
    <w:rsid w:val="00457064"/>
    <w:rsid w:val="004705C0"/>
    <w:rsid w:val="0048585C"/>
    <w:rsid w:val="004868F9"/>
    <w:rsid w:val="0049545B"/>
    <w:rsid w:val="00496D0E"/>
    <w:rsid w:val="00497228"/>
    <w:rsid w:val="004A62B0"/>
    <w:rsid w:val="004A6363"/>
    <w:rsid w:val="004B30E3"/>
    <w:rsid w:val="005047B1"/>
    <w:rsid w:val="005051A6"/>
    <w:rsid w:val="005131F6"/>
    <w:rsid w:val="00523B2B"/>
    <w:rsid w:val="00525C27"/>
    <w:rsid w:val="005327CC"/>
    <w:rsid w:val="00542F0E"/>
    <w:rsid w:val="005441D8"/>
    <w:rsid w:val="00544553"/>
    <w:rsid w:val="005476C4"/>
    <w:rsid w:val="00555CF3"/>
    <w:rsid w:val="005627FF"/>
    <w:rsid w:val="00565256"/>
    <w:rsid w:val="00574648"/>
    <w:rsid w:val="00575C1D"/>
    <w:rsid w:val="005772E0"/>
    <w:rsid w:val="00581439"/>
    <w:rsid w:val="00592968"/>
    <w:rsid w:val="005930BA"/>
    <w:rsid w:val="00595B28"/>
    <w:rsid w:val="005975E4"/>
    <w:rsid w:val="00597677"/>
    <w:rsid w:val="005B52EE"/>
    <w:rsid w:val="005C768F"/>
    <w:rsid w:val="005D20AB"/>
    <w:rsid w:val="005D4B0E"/>
    <w:rsid w:val="005E3289"/>
    <w:rsid w:val="005F1C1A"/>
    <w:rsid w:val="005F3697"/>
    <w:rsid w:val="005F7079"/>
    <w:rsid w:val="00600352"/>
    <w:rsid w:val="0060737C"/>
    <w:rsid w:val="0061133B"/>
    <w:rsid w:val="00614D93"/>
    <w:rsid w:val="00616EF8"/>
    <w:rsid w:val="006245C4"/>
    <w:rsid w:val="00626293"/>
    <w:rsid w:val="006352A0"/>
    <w:rsid w:val="00636D0B"/>
    <w:rsid w:val="00642B31"/>
    <w:rsid w:val="00645A1D"/>
    <w:rsid w:val="006502B3"/>
    <w:rsid w:val="00654372"/>
    <w:rsid w:val="0065481E"/>
    <w:rsid w:val="0065486C"/>
    <w:rsid w:val="006549E7"/>
    <w:rsid w:val="006555CE"/>
    <w:rsid w:val="006558AC"/>
    <w:rsid w:val="00657663"/>
    <w:rsid w:val="0066336E"/>
    <w:rsid w:val="00663F0C"/>
    <w:rsid w:val="0066573B"/>
    <w:rsid w:val="006674CB"/>
    <w:rsid w:val="0067181A"/>
    <w:rsid w:val="006766EF"/>
    <w:rsid w:val="00697E96"/>
    <w:rsid w:val="006A0E12"/>
    <w:rsid w:val="006A6119"/>
    <w:rsid w:val="006A71E3"/>
    <w:rsid w:val="006B2405"/>
    <w:rsid w:val="006B45FF"/>
    <w:rsid w:val="006B5958"/>
    <w:rsid w:val="006B5A29"/>
    <w:rsid w:val="006B7E9A"/>
    <w:rsid w:val="006C2064"/>
    <w:rsid w:val="006C2711"/>
    <w:rsid w:val="006C3C4C"/>
    <w:rsid w:val="006C50A1"/>
    <w:rsid w:val="006D5DE7"/>
    <w:rsid w:val="006E21D6"/>
    <w:rsid w:val="006E2EAB"/>
    <w:rsid w:val="006E4424"/>
    <w:rsid w:val="006F66E8"/>
    <w:rsid w:val="0070075C"/>
    <w:rsid w:val="007040FC"/>
    <w:rsid w:val="00711076"/>
    <w:rsid w:val="0071173F"/>
    <w:rsid w:val="00711F55"/>
    <w:rsid w:val="00713CD1"/>
    <w:rsid w:val="00722ADE"/>
    <w:rsid w:val="00735D7C"/>
    <w:rsid w:val="00741AE9"/>
    <w:rsid w:val="00744786"/>
    <w:rsid w:val="00747510"/>
    <w:rsid w:val="0074771B"/>
    <w:rsid w:val="007479ED"/>
    <w:rsid w:val="00755367"/>
    <w:rsid w:val="00764326"/>
    <w:rsid w:val="0076597A"/>
    <w:rsid w:val="007717CC"/>
    <w:rsid w:val="007730A5"/>
    <w:rsid w:val="00781C6F"/>
    <w:rsid w:val="00782677"/>
    <w:rsid w:val="0079699A"/>
    <w:rsid w:val="007A05FC"/>
    <w:rsid w:val="007A0B93"/>
    <w:rsid w:val="007A518D"/>
    <w:rsid w:val="007A58A2"/>
    <w:rsid w:val="007A6092"/>
    <w:rsid w:val="007A68A8"/>
    <w:rsid w:val="007B517C"/>
    <w:rsid w:val="007C0964"/>
    <w:rsid w:val="007C302D"/>
    <w:rsid w:val="007C4355"/>
    <w:rsid w:val="007C67FA"/>
    <w:rsid w:val="007C7B0E"/>
    <w:rsid w:val="007D3BAE"/>
    <w:rsid w:val="007E1A5F"/>
    <w:rsid w:val="007E2F3E"/>
    <w:rsid w:val="007E3B02"/>
    <w:rsid w:val="007E5656"/>
    <w:rsid w:val="007F0C27"/>
    <w:rsid w:val="007F1312"/>
    <w:rsid w:val="007F42EE"/>
    <w:rsid w:val="00801162"/>
    <w:rsid w:val="0082124B"/>
    <w:rsid w:val="00822F1F"/>
    <w:rsid w:val="008339BD"/>
    <w:rsid w:val="00837EE4"/>
    <w:rsid w:val="008435A8"/>
    <w:rsid w:val="0086289D"/>
    <w:rsid w:val="00863BAF"/>
    <w:rsid w:val="00872A9D"/>
    <w:rsid w:val="008760A6"/>
    <w:rsid w:val="00884CFF"/>
    <w:rsid w:val="0088686E"/>
    <w:rsid w:val="00895A3A"/>
    <w:rsid w:val="008971B2"/>
    <w:rsid w:val="008979E1"/>
    <w:rsid w:val="008B1315"/>
    <w:rsid w:val="008B152E"/>
    <w:rsid w:val="008B201A"/>
    <w:rsid w:val="008B44AB"/>
    <w:rsid w:val="008C1F6E"/>
    <w:rsid w:val="008C3970"/>
    <w:rsid w:val="008D09B4"/>
    <w:rsid w:val="008D47BC"/>
    <w:rsid w:val="008D70C7"/>
    <w:rsid w:val="008E039D"/>
    <w:rsid w:val="008E181C"/>
    <w:rsid w:val="008E27AF"/>
    <w:rsid w:val="008E3F92"/>
    <w:rsid w:val="008E74D9"/>
    <w:rsid w:val="009112C7"/>
    <w:rsid w:val="009169B7"/>
    <w:rsid w:val="00916ABF"/>
    <w:rsid w:val="00920A03"/>
    <w:rsid w:val="00920BCF"/>
    <w:rsid w:val="00953578"/>
    <w:rsid w:val="009562F0"/>
    <w:rsid w:val="00957693"/>
    <w:rsid w:val="00960B6C"/>
    <w:rsid w:val="009636CE"/>
    <w:rsid w:val="00976F11"/>
    <w:rsid w:val="00977D2C"/>
    <w:rsid w:val="0098308A"/>
    <w:rsid w:val="009878D5"/>
    <w:rsid w:val="00987D92"/>
    <w:rsid w:val="00987F94"/>
    <w:rsid w:val="0099278E"/>
    <w:rsid w:val="00992856"/>
    <w:rsid w:val="009A1DE3"/>
    <w:rsid w:val="009A5E54"/>
    <w:rsid w:val="009A6CB1"/>
    <w:rsid w:val="009A73A9"/>
    <w:rsid w:val="009B06DF"/>
    <w:rsid w:val="009B4089"/>
    <w:rsid w:val="009C38D2"/>
    <w:rsid w:val="009D39F9"/>
    <w:rsid w:val="009E56D8"/>
    <w:rsid w:val="009E579A"/>
    <w:rsid w:val="009F05FA"/>
    <w:rsid w:val="00A1016F"/>
    <w:rsid w:val="00A1753E"/>
    <w:rsid w:val="00A2062F"/>
    <w:rsid w:val="00A22123"/>
    <w:rsid w:val="00A30FBB"/>
    <w:rsid w:val="00A41682"/>
    <w:rsid w:val="00A4236A"/>
    <w:rsid w:val="00A53F75"/>
    <w:rsid w:val="00A55BCE"/>
    <w:rsid w:val="00A70C81"/>
    <w:rsid w:val="00A81661"/>
    <w:rsid w:val="00A850E8"/>
    <w:rsid w:val="00A85683"/>
    <w:rsid w:val="00A97D4F"/>
    <w:rsid w:val="00AB4729"/>
    <w:rsid w:val="00AB62E3"/>
    <w:rsid w:val="00AC0EE2"/>
    <w:rsid w:val="00AC3711"/>
    <w:rsid w:val="00AC718A"/>
    <w:rsid w:val="00AE2210"/>
    <w:rsid w:val="00AE443D"/>
    <w:rsid w:val="00AE5C29"/>
    <w:rsid w:val="00AF7B0B"/>
    <w:rsid w:val="00B0191D"/>
    <w:rsid w:val="00B05710"/>
    <w:rsid w:val="00B10CEA"/>
    <w:rsid w:val="00B21341"/>
    <w:rsid w:val="00B22744"/>
    <w:rsid w:val="00B25307"/>
    <w:rsid w:val="00B354AD"/>
    <w:rsid w:val="00B3607F"/>
    <w:rsid w:val="00B378DB"/>
    <w:rsid w:val="00B43284"/>
    <w:rsid w:val="00B44958"/>
    <w:rsid w:val="00B606B7"/>
    <w:rsid w:val="00B63647"/>
    <w:rsid w:val="00B663FE"/>
    <w:rsid w:val="00B71CFD"/>
    <w:rsid w:val="00B7361B"/>
    <w:rsid w:val="00B76B3A"/>
    <w:rsid w:val="00B8062C"/>
    <w:rsid w:val="00B823E3"/>
    <w:rsid w:val="00B82578"/>
    <w:rsid w:val="00B90176"/>
    <w:rsid w:val="00B94EE9"/>
    <w:rsid w:val="00B95686"/>
    <w:rsid w:val="00BA133C"/>
    <w:rsid w:val="00BA2D76"/>
    <w:rsid w:val="00BA7CC8"/>
    <w:rsid w:val="00BB1BF5"/>
    <w:rsid w:val="00BB3B61"/>
    <w:rsid w:val="00BB3EF2"/>
    <w:rsid w:val="00BB46A9"/>
    <w:rsid w:val="00BB6E66"/>
    <w:rsid w:val="00BC7323"/>
    <w:rsid w:val="00BD0939"/>
    <w:rsid w:val="00BD1536"/>
    <w:rsid w:val="00BD2AC8"/>
    <w:rsid w:val="00BD39B3"/>
    <w:rsid w:val="00BD681E"/>
    <w:rsid w:val="00BF0CED"/>
    <w:rsid w:val="00BF1875"/>
    <w:rsid w:val="00BF2908"/>
    <w:rsid w:val="00C064B8"/>
    <w:rsid w:val="00C065D2"/>
    <w:rsid w:val="00C07E4F"/>
    <w:rsid w:val="00C11203"/>
    <w:rsid w:val="00C2272B"/>
    <w:rsid w:val="00C228E2"/>
    <w:rsid w:val="00C35DC2"/>
    <w:rsid w:val="00C444A3"/>
    <w:rsid w:val="00C44CC2"/>
    <w:rsid w:val="00C44CFB"/>
    <w:rsid w:val="00C50A9C"/>
    <w:rsid w:val="00C533A1"/>
    <w:rsid w:val="00C61EF4"/>
    <w:rsid w:val="00C62C63"/>
    <w:rsid w:val="00C649D1"/>
    <w:rsid w:val="00C717AE"/>
    <w:rsid w:val="00C72901"/>
    <w:rsid w:val="00C74A91"/>
    <w:rsid w:val="00C76EE6"/>
    <w:rsid w:val="00C90797"/>
    <w:rsid w:val="00CA20D5"/>
    <w:rsid w:val="00CA21A2"/>
    <w:rsid w:val="00CA2F01"/>
    <w:rsid w:val="00CB509D"/>
    <w:rsid w:val="00CB70DD"/>
    <w:rsid w:val="00CC11B9"/>
    <w:rsid w:val="00CC5DB1"/>
    <w:rsid w:val="00CD04D1"/>
    <w:rsid w:val="00CD4D69"/>
    <w:rsid w:val="00CD500D"/>
    <w:rsid w:val="00CE4182"/>
    <w:rsid w:val="00CF042E"/>
    <w:rsid w:val="00CF1364"/>
    <w:rsid w:val="00CF2781"/>
    <w:rsid w:val="00CF53E9"/>
    <w:rsid w:val="00D07459"/>
    <w:rsid w:val="00D13DDC"/>
    <w:rsid w:val="00D13EAD"/>
    <w:rsid w:val="00D147D6"/>
    <w:rsid w:val="00D22726"/>
    <w:rsid w:val="00D258EE"/>
    <w:rsid w:val="00D32B3A"/>
    <w:rsid w:val="00D34628"/>
    <w:rsid w:val="00D44735"/>
    <w:rsid w:val="00D46E7D"/>
    <w:rsid w:val="00D46E88"/>
    <w:rsid w:val="00D5068B"/>
    <w:rsid w:val="00D563EE"/>
    <w:rsid w:val="00D72A49"/>
    <w:rsid w:val="00D7655A"/>
    <w:rsid w:val="00D82D59"/>
    <w:rsid w:val="00D85F97"/>
    <w:rsid w:val="00D9365A"/>
    <w:rsid w:val="00DA36BE"/>
    <w:rsid w:val="00DB6345"/>
    <w:rsid w:val="00DB7834"/>
    <w:rsid w:val="00DC037C"/>
    <w:rsid w:val="00DC4C08"/>
    <w:rsid w:val="00DD1C42"/>
    <w:rsid w:val="00DE0E09"/>
    <w:rsid w:val="00DE3E89"/>
    <w:rsid w:val="00DF5D33"/>
    <w:rsid w:val="00DF64B8"/>
    <w:rsid w:val="00E0067C"/>
    <w:rsid w:val="00E10508"/>
    <w:rsid w:val="00E109CF"/>
    <w:rsid w:val="00E10BD3"/>
    <w:rsid w:val="00E11722"/>
    <w:rsid w:val="00E14E78"/>
    <w:rsid w:val="00E3436E"/>
    <w:rsid w:val="00E3644C"/>
    <w:rsid w:val="00E51578"/>
    <w:rsid w:val="00E521CD"/>
    <w:rsid w:val="00E5359B"/>
    <w:rsid w:val="00E54524"/>
    <w:rsid w:val="00E556AE"/>
    <w:rsid w:val="00E576FC"/>
    <w:rsid w:val="00E668B0"/>
    <w:rsid w:val="00E70094"/>
    <w:rsid w:val="00E733A9"/>
    <w:rsid w:val="00E73E8F"/>
    <w:rsid w:val="00E77C16"/>
    <w:rsid w:val="00E80FD9"/>
    <w:rsid w:val="00E85B05"/>
    <w:rsid w:val="00E878CB"/>
    <w:rsid w:val="00E92E18"/>
    <w:rsid w:val="00EA22A1"/>
    <w:rsid w:val="00EA2BB2"/>
    <w:rsid w:val="00EA4CDD"/>
    <w:rsid w:val="00EA779B"/>
    <w:rsid w:val="00EB1AF2"/>
    <w:rsid w:val="00EC0E00"/>
    <w:rsid w:val="00ED468C"/>
    <w:rsid w:val="00ED4F4F"/>
    <w:rsid w:val="00EE24A5"/>
    <w:rsid w:val="00EE3951"/>
    <w:rsid w:val="00EE68F9"/>
    <w:rsid w:val="00EE7A4B"/>
    <w:rsid w:val="00EE7F5A"/>
    <w:rsid w:val="00F03F4D"/>
    <w:rsid w:val="00F05AF2"/>
    <w:rsid w:val="00F11145"/>
    <w:rsid w:val="00F126EF"/>
    <w:rsid w:val="00F14598"/>
    <w:rsid w:val="00F2290C"/>
    <w:rsid w:val="00F2645B"/>
    <w:rsid w:val="00F26952"/>
    <w:rsid w:val="00F270DB"/>
    <w:rsid w:val="00F27318"/>
    <w:rsid w:val="00F2756F"/>
    <w:rsid w:val="00F34886"/>
    <w:rsid w:val="00F37C29"/>
    <w:rsid w:val="00F42F40"/>
    <w:rsid w:val="00F446BD"/>
    <w:rsid w:val="00F471CB"/>
    <w:rsid w:val="00F50EA6"/>
    <w:rsid w:val="00F5359F"/>
    <w:rsid w:val="00F65818"/>
    <w:rsid w:val="00F67267"/>
    <w:rsid w:val="00F676F3"/>
    <w:rsid w:val="00F71F42"/>
    <w:rsid w:val="00F822AD"/>
    <w:rsid w:val="00F90FDB"/>
    <w:rsid w:val="00F91C47"/>
    <w:rsid w:val="00F929B2"/>
    <w:rsid w:val="00FA1186"/>
    <w:rsid w:val="00FA79E5"/>
    <w:rsid w:val="00FB3E00"/>
    <w:rsid w:val="00FB551F"/>
    <w:rsid w:val="00FB6B3C"/>
    <w:rsid w:val="00FC4061"/>
    <w:rsid w:val="00FD1ACD"/>
    <w:rsid w:val="00FD2C91"/>
    <w:rsid w:val="00FD45F0"/>
    <w:rsid w:val="00FD783D"/>
    <w:rsid w:val="00FE3D17"/>
    <w:rsid w:val="00FE49DF"/>
    <w:rsid w:val="00FE6914"/>
    <w:rsid w:val="00FF04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97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9F"/>
    <w:rPr>
      <w:rFonts w:ascii="Calibri" w:eastAsia="Calibri" w:hAnsi="Calibri" w:cs="Times New Roman"/>
    </w:rPr>
  </w:style>
  <w:style w:type="paragraph" w:styleId="Heading1">
    <w:name w:val="heading 1"/>
    <w:basedOn w:val="Normal"/>
    <w:next w:val="Normal"/>
    <w:link w:val="Heading1Char"/>
    <w:uiPriority w:val="9"/>
    <w:qFormat/>
    <w:rsid w:val="00F5359F"/>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6F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59F"/>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F5359F"/>
    <w:rPr>
      <w:color w:val="0000FF"/>
      <w:u w:val="single"/>
    </w:rPr>
  </w:style>
  <w:style w:type="table" w:styleId="TableGrid">
    <w:name w:val="Table Grid"/>
    <w:basedOn w:val="TableNormal"/>
    <w:uiPriority w:val="59"/>
    <w:rsid w:val="00F5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next w:val="Normal"/>
    <w:uiPriority w:val="1"/>
    <w:qFormat/>
    <w:rsid w:val="00F5359F"/>
    <w:pPr>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F5359F"/>
    <w:pPr>
      <w:tabs>
        <w:tab w:val="center" w:pos="4320"/>
        <w:tab w:val="right" w:pos="8640"/>
      </w:tabs>
    </w:pPr>
  </w:style>
  <w:style w:type="character" w:customStyle="1" w:styleId="FooterChar">
    <w:name w:val="Footer Char"/>
    <w:basedOn w:val="DefaultParagraphFont"/>
    <w:link w:val="Footer"/>
    <w:uiPriority w:val="99"/>
    <w:rsid w:val="00F5359F"/>
    <w:rPr>
      <w:rFonts w:ascii="Calibri" w:eastAsia="Calibri" w:hAnsi="Calibri" w:cs="Times New Roman"/>
    </w:rPr>
  </w:style>
  <w:style w:type="character" w:styleId="PageNumber">
    <w:name w:val="page number"/>
    <w:basedOn w:val="DefaultParagraphFont"/>
    <w:uiPriority w:val="99"/>
    <w:semiHidden/>
    <w:unhideWhenUsed/>
    <w:rsid w:val="00F5359F"/>
  </w:style>
  <w:style w:type="paragraph" w:styleId="TOCHeading">
    <w:name w:val="TOC Heading"/>
    <w:basedOn w:val="Heading1"/>
    <w:next w:val="Normal"/>
    <w:uiPriority w:val="39"/>
    <w:unhideWhenUsed/>
    <w:qFormat/>
    <w:rsid w:val="00F5359F"/>
    <w:pPr>
      <w:numPr>
        <w:numId w:val="0"/>
      </w:numPr>
      <w:outlineLvl w:val="9"/>
    </w:pPr>
    <w:rPr>
      <w:lang w:val="en-US" w:eastAsia="ja-JP"/>
    </w:rPr>
  </w:style>
  <w:style w:type="paragraph" w:styleId="TOC1">
    <w:name w:val="toc 1"/>
    <w:basedOn w:val="Normal"/>
    <w:next w:val="Normal"/>
    <w:autoRedefine/>
    <w:uiPriority w:val="39"/>
    <w:unhideWhenUsed/>
    <w:rsid w:val="00F5359F"/>
    <w:pPr>
      <w:spacing w:after="100"/>
    </w:pPr>
  </w:style>
  <w:style w:type="paragraph" w:styleId="ListParagraph">
    <w:name w:val="List Paragraph"/>
    <w:basedOn w:val="Normal"/>
    <w:link w:val="ListParagraphChar"/>
    <w:uiPriority w:val="34"/>
    <w:qFormat/>
    <w:rsid w:val="00F5359F"/>
    <w:pPr>
      <w:ind w:left="720"/>
      <w:contextualSpacing/>
    </w:pPr>
  </w:style>
  <w:style w:type="paragraph" w:customStyle="1" w:styleId="BodyA">
    <w:name w:val="Body A"/>
    <w:rsid w:val="00F5359F"/>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NoneA">
    <w:name w:val="None A"/>
    <w:rsid w:val="00F5359F"/>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F5359F"/>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F5359F"/>
    <w:rPr>
      <w:rFonts w:ascii="Calibri" w:eastAsia="Calibri" w:hAnsi="Calibri" w:cs="Times New Roman"/>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rsid w:val="00F535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359F"/>
    <w:pPr>
      <w:spacing w:line="240" w:lineRule="exact"/>
      <w:jc w:val="both"/>
    </w:pPr>
    <w:rPr>
      <w:rFonts w:asciiTheme="minorHAnsi" w:eastAsiaTheme="minorHAnsi" w:hAnsiTheme="minorHAnsi" w:cstheme="minorBidi"/>
      <w:vertAlign w:val="superscript"/>
    </w:rPr>
  </w:style>
  <w:style w:type="character" w:customStyle="1" w:styleId="Hyperlink2">
    <w:name w:val="Hyperlink.2"/>
    <w:basedOn w:val="NoneA"/>
    <w:rsid w:val="00F5359F"/>
    <w:rPr>
      <w:rFonts w:ascii="Arial" w:eastAsia="Arial" w:hAnsi="Arial" w:cs="Arial"/>
      <w:color w:val="0000FF"/>
      <w:sz w:val="16"/>
      <w:szCs w:val="16"/>
      <w:u w:val="single" w:color="0000FF"/>
    </w:rPr>
  </w:style>
  <w:style w:type="paragraph" w:customStyle="1" w:styleId="Body">
    <w:name w:val="Body"/>
    <w:rsid w:val="00F535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AU"/>
    </w:rPr>
  </w:style>
  <w:style w:type="character" w:styleId="CommentReference">
    <w:name w:val="annotation reference"/>
    <w:basedOn w:val="DefaultParagraphFont"/>
    <w:uiPriority w:val="99"/>
    <w:semiHidden/>
    <w:unhideWhenUsed/>
    <w:rsid w:val="00F5359F"/>
    <w:rPr>
      <w:sz w:val="16"/>
      <w:szCs w:val="16"/>
    </w:rPr>
  </w:style>
  <w:style w:type="paragraph" w:styleId="CommentText">
    <w:name w:val="annotation text"/>
    <w:basedOn w:val="Normal"/>
    <w:link w:val="CommentTextChar"/>
    <w:uiPriority w:val="99"/>
    <w:semiHidden/>
    <w:unhideWhenUsed/>
    <w:rsid w:val="00F5359F"/>
    <w:rPr>
      <w:sz w:val="20"/>
      <w:szCs w:val="20"/>
    </w:rPr>
  </w:style>
  <w:style w:type="character" w:customStyle="1" w:styleId="CommentTextChar">
    <w:name w:val="Comment Text Char"/>
    <w:basedOn w:val="DefaultParagraphFont"/>
    <w:link w:val="CommentText"/>
    <w:uiPriority w:val="99"/>
    <w:semiHidden/>
    <w:rsid w:val="00F5359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53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9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5359F"/>
    <w:rPr>
      <w:b/>
      <w:bCs/>
    </w:rPr>
  </w:style>
  <w:style w:type="character" w:customStyle="1" w:styleId="CommentSubjectChar">
    <w:name w:val="Comment Subject Char"/>
    <w:basedOn w:val="CommentTextChar"/>
    <w:link w:val="CommentSubject"/>
    <w:uiPriority w:val="99"/>
    <w:semiHidden/>
    <w:rsid w:val="00F5359F"/>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976F11"/>
    <w:rPr>
      <w:rFonts w:asciiTheme="majorHAnsi" w:eastAsiaTheme="majorEastAsia" w:hAnsiTheme="majorHAnsi" w:cstheme="majorBidi"/>
      <w:b/>
      <w:bCs/>
      <w:color w:val="5B9BD5" w:themeColor="accent1"/>
      <w:sz w:val="26"/>
      <w:szCs w:val="26"/>
    </w:rPr>
  </w:style>
  <w:style w:type="character" w:customStyle="1" w:styleId="ListParagraphChar">
    <w:name w:val="List Paragraph Char"/>
    <w:link w:val="ListParagraph"/>
    <w:uiPriority w:val="34"/>
    <w:rsid w:val="00976F11"/>
    <w:rPr>
      <w:rFonts w:ascii="Calibri" w:eastAsia="Calibri" w:hAnsi="Calibri" w:cs="Times New Roman"/>
    </w:rPr>
  </w:style>
  <w:style w:type="character" w:styleId="BookTitle">
    <w:name w:val="Book Title"/>
    <w:basedOn w:val="DefaultParagraphFont"/>
    <w:uiPriority w:val="33"/>
    <w:qFormat/>
    <w:rsid w:val="008E181C"/>
  </w:style>
  <w:style w:type="paragraph" w:styleId="TOC2">
    <w:name w:val="toc 2"/>
    <w:basedOn w:val="Normal"/>
    <w:next w:val="Normal"/>
    <w:autoRedefine/>
    <w:uiPriority w:val="39"/>
    <w:unhideWhenUsed/>
    <w:rsid w:val="002F2AA4"/>
    <w:pPr>
      <w:spacing w:after="100"/>
      <w:ind w:left="220"/>
    </w:pPr>
  </w:style>
  <w:style w:type="paragraph" w:styleId="PlainText">
    <w:name w:val="Plain Text"/>
    <w:basedOn w:val="Normal"/>
    <w:link w:val="PlainTextChar"/>
    <w:uiPriority w:val="99"/>
    <w:unhideWhenUsed/>
    <w:rsid w:val="00ED468C"/>
    <w:pPr>
      <w:spacing w:after="0" w:line="240" w:lineRule="auto"/>
    </w:pPr>
    <w:rPr>
      <w:rFonts w:eastAsiaTheme="minorHAnsi"/>
    </w:rPr>
  </w:style>
  <w:style w:type="character" w:customStyle="1" w:styleId="PlainTextChar">
    <w:name w:val="Plain Text Char"/>
    <w:basedOn w:val="DefaultParagraphFont"/>
    <w:link w:val="PlainText"/>
    <w:uiPriority w:val="99"/>
    <w:rsid w:val="00ED468C"/>
    <w:rPr>
      <w:rFonts w:ascii="Calibri" w:hAnsi="Calibri" w:cs="Times New Roman"/>
    </w:rPr>
  </w:style>
  <w:style w:type="paragraph" w:customStyle="1" w:styleId="EndnoteText1">
    <w:name w:val="Endnote Text1"/>
    <w:basedOn w:val="Normal"/>
    <w:rsid w:val="00016ED4"/>
    <w:pPr>
      <w:adjustRightInd w:val="0"/>
      <w:spacing w:after="120" w:line="240" w:lineRule="auto"/>
      <w:ind w:left="720" w:hanging="720"/>
      <w:jc w:val="both"/>
    </w:pPr>
    <w:rPr>
      <w:rFonts w:ascii="Times New Roman" w:eastAsia="STZhongsong" w:hAnsi="Times New Roman"/>
      <w:sz w:val="18"/>
      <w:szCs w:val="20"/>
      <w:lang w:val="en-GB" w:eastAsia="zh-CN"/>
    </w:rPr>
  </w:style>
  <w:style w:type="character" w:customStyle="1" w:styleId="apple-tab-span">
    <w:name w:val="apple-tab-span"/>
    <w:basedOn w:val="DefaultParagraphFont"/>
    <w:rsid w:val="00B71CFD"/>
  </w:style>
  <w:style w:type="character" w:styleId="FollowedHyperlink">
    <w:name w:val="FollowedHyperlink"/>
    <w:basedOn w:val="DefaultParagraphFont"/>
    <w:uiPriority w:val="99"/>
    <w:semiHidden/>
    <w:unhideWhenUsed/>
    <w:rsid w:val="00180B83"/>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59F"/>
    <w:rPr>
      <w:rFonts w:ascii="Calibri" w:eastAsia="Calibri" w:hAnsi="Calibri" w:cs="Times New Roman"/>
    </w:rPr>
  </w:style>
  <w:style w:type="paragraph" w:styleId="Heading1">
    <w:name w:val="heading 1"/>
    <w:basedOn w:val="Normal"/>
    <w:next w:val="Normal"/>
    <w:link w:val="Heading1Char"/>
    <w:uiPriority w:val="9"/>
    <w:qFormat/>
    <w:rsid w:val="00F5359F"/>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6F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59F"/>
    <w:rPr>
      <w:rFonts w:asciiTheme="majorHAnsi" w:eastAsiaTheme="majorEastAsia" w:hAnsiTheme="majorHAnsi" w:cstheme="majorBidi"/>
      <w:b/>
      <w:bCs/>
      <w:color w:val="2E74B5" w:themeColor="accent1" w:themeShade="BF"/>
      <w:sz w:val="28"/>
      <w:szCs w:val="28"/>
    </w:rPr>
  </w:style>
  <w:style w:type="character" w:styleId="Hyperlink">
    <w:name w:val="Hyperlink"/>
    <w:uiPriority w:val="99"/>
    <w:unhideWhenUsed/>
    <w:rsid w:val="00F5359F"/>
    <w:rPr>
      <w:color w:val="0000FF"/>
      <w:u w:val="single"/>
    </w:rPr>
  </w:style>
  <w:style w:type="table" w:styleId="TableGrid">
    <w:name w:val="Table Grid"/>
    <w:basedOn w:val="TableNormal"/>
    <w:uiPriority w:val="59"/>
    <w:rsid w:val="00F53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next w:val="Normal"/>
    <w:uiPriority w:val="1"/>
    <w:qFormat/>
    <w:rsid w:val="00F5359F"/>
    <w:pPr>
      <w:jc w:val="both"/>
    </w:pPr>
    <w:rPr>
      <w:rFonts w:ascii="Cambria" w:eastAsiaTheme="minorEastAsia" w:hAnsi="Cambria" w:cs="Calibri"/>
      <w:bCs/>
      <w:color w:val="404040" w:themeColor="text1" w:themeTint="BF"/>
      <w:sz w:val="20"/>
      <w:szCs w:val="20"/>
      <w:lang w:val="en-US" w:eastAsia="en-AU"/>
    </w:rPr>
  </w:style>
  <w:style w:type="paragraph" w:styleId="Footer">
    <w:name w:val="footer"/>
    <w:basedOn w:val="Normal"/>
    <w:link w:val="FooterChar"/>
    <w:uiPriority w:val="99"/>
    <w:unhideWhenUsed/>
    <w:rsid w:val="00F5359F"/>
    <w:pPr>
      <w:tabs>
        <w:tab w:val="center" w:pos="4320"/>
        <w:tab w:val="right" w:pos="8640"/>
      </w:tabs>
    </w:pPr>
  </w:style>
  <w:style w:type="character" w:customStyle="1" w:styleId="FooterChar">
    <w:name w:val="Footer Char"/>
    <w:basedOn w:val="DefaultParagraphFont"/>
    <w:link w:val="Footer"/>
    <w:uiPriority w:val="99"/>
    <w:rsid w:val="00F5359F"/>
    <w:rPr>
      <w:rFonts w:ascii="Calibri" w:eastAsia="Calibri" w:hAnsi="Calibri" w:cs="Times New Roman"/>
    </w:rPr>
  </w:style>
  <w:style w:type="character" w:styleId="PageNumber">
    <w:name w:val="page number"/>
    <w:basedOn w:val="DefaultParagraphFont"/>
    <w:uiPriority w:val="99"/>
    <w:semiHidden/>
    <w:unhideWhenUsed/>
    <w:rsid w:val="00F5359F"/>
  </w:style>
  <w:style w:type="paragraph" w:styleId="TOCHeading">
    <w:name w:val="TOC Heading"/>
    <w:basedOn w:val="Heading1"/>
    <w:next w:val="Normal"/>
    <w:uiPriority w:val="39"/>
    <w:unhideWhenUsed/>
    <w:qFormat/>
    <w:rsid w:val="00F5359F"/>
    <w:pPr>
      <w:numPr>
        <w:numId w:val="0"/>
      </w:numPr>
      <w:outlineLvl w:val="9"/>
    </w:pPr>
    <w:rPr>
      <w:lang w:val="en-US" w:eastAsia="ja-JP"/>
    </w:rPr>
  </w:style>
  <w:style w:type="paragraph" w:styleId="TOC1">
    <w:name w:val="toc 1"/>
    <w:basedOn w:val="Normal"/>
    <w:next w:val="Normal"/>
    <w:autoRedefine/>
    <w:uiPriority w:val="39"/>
    <w:unhideWhenUsed/>
    <w:rsid w:val="00F5359F"/>
    <w:pPr>
      <w:spacing w:after="100"/>
    </w:pPr>
  </w:style>
  <w:style w:type="paragraph" w:styleId="ListParagraph">
    <w:name w:val="List Paragraph"/>
    <w:basedOn w:val="Normal"/>
    <w:link w:val="ListParagraphChar"/>
    <w:uiPriority w:val="34"/>
    <w:qFormat/>
    <w:rsid w:val="00F5359F"/>
    <w:pPr>
      <w:ind w:left="720"/>
      <w:contextualSpacing/>
    </w:pPr>
  </w:style>
  <w:style w:type="paragraph" w:customStyle="1" w:styleId="BodyA">
    <w:name w:val="Body A"/>
    <w:rsid w:val="00F5359F"/>
    <w:pPr>
      <w:pBdr>
        <w:top w:val="nil"/>
        <w:left w:val="nil"/>
        <w:bottom w:val="nil"/>
        <w:right w:val="nil"/>
        <w:between w:val="nil"/>
        <w:bar w:val="nil"/>
      </w:pBdr>
    </w:pPr>
    <w:rPr>
      <w:rFonts w:ascii="Calibri" w:eastAsia="Calibri" w:hAnsi="Calibri" w:cs="Calibri"/>
      <w:color w:val="000000"/>
      <w:u w:color="000000"/>
      <w:bdr w:val="nil"/>
      <w:lang w:val="en-US" w:eastAsia="en-AU"/>
    </w:rPr>
  </w:style>
  <w:style w:type="character" w:customStyle="1" w:styleId="NoneA">
    <w:name w:val="None A"/>
    <w:rsid w:val="00F5359F"/>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Text Char Char Char Char Char Char"/>
    <w:basedOn w:val="Normal"/>
    <w:link w:val="FootnoteTextChar"/>
    <w:uiPriority w:val="99"/>
    <w:unhideWhenUsed/>
    <w:qFormat/>
    <w:rsid w:val="00F5359F"/>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
    <w:basedOn w:val="DefaultParagraphFont"/>
    <w:link w:val="FootnoteText"/>
    <w:uiPriority w:val="99"/>
    <w:rsid w:val="00F5359F"/>
    <w:rPr>
      <w:rFonts w:ascii="Calibri" w:eastAsia="Calibri" w:hAnsi="Calibri" w:cs="Times New Roman"/>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rsid w:val="00F5359F"/>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F5359F"/>
    <w:pPr>
      <w:spacing w:line="240" w:lineRule="exact"/>
      <w:jc w:val="both"/>
    </w:pPr>
    <w:rPr>
      <w:rFonts w:asciiTheme="minorHAnsi" w:eastAsiaTheme="minorHAnsi" w:hAnsiTheme="minorHAnsi" w:cstheme="minorBidi"/>
      <w:vertAlign w:val="superscript"/>
    </w:rPr>
  </w:style>
  <w:style w:type="character" w:customStyle="1" w:styleId="Hyperlink2">
    <w:name w:val="Hyperlink.2"/>
    <w:basedOn w:val="NoneA"/>
    <w:rsid w:val="00F5359F"/>
    <w:rPr>
      <w:rFonts w:ascii="Arial" w:eastAsia="Arial" w:hAnsi="Arial" w:cs="Arial"/>
      <w:color w:val="0000FF"/>
      <w:sz w:val="16"/>
      <w:szCs w:val="16"/>
      <w:u w:val="single" w:color="0000FF"/>
    </w:rPr>
  </w:style>
  <w:style w:type="paragraph" w:customStyle="1" w:styleId="Body">
    <w:name w:val="Body"/>
    <w:rsid w:val="00F5359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AU"/>
    </w:rPr>
  </w:style>
  <w:style w:type="character" w:styleId="CommentReference">
    <w:name w:val="annotation reference"/>
    <w:basedOn w:val="DefaultParagraphFont"/>
    <w:uiPriority w:val="99"/>
    <w:semiHidden/>
    <w:unhideWhenUsed/>
    <w:rsid w:val="00F5359F"/>
    <w:rPr>
      <w:sz w:val="16"/>
      <w:szCs w:val="16"/>
    </w:rPr>
  </w:style>
  <w:style w:type="paragraph" w:styleId="CommentText">
    <w:name w:val="annotation text"/>
    <w:basedOn w:val="Normal"/>
    <w:link w:val="CommentTextChar"/>
    <w:uiPriority w:val="99"/>
    <w:semiHidden/>
    <w:unhideWhenUsed/>
    <w:rsid w:val="00F5359F"/>
    <w:rPr>
      <w:sz w:val="20"/>
      <w:szCs w:val="20"/>
    </w:rPr>
  </w:style>
  <w:style w:type="character" w:customStyle="1" w:styleId="CommentTextChar">
    <w:name w:val="Comment Text Char"/>
    <w:basedOn w:val="DefaultParagraphFont"/>
    <w:link w:val="CommentText"/>
    <w:uiPriority w:val="99"/>
    <w:semiHidden/>
    <w:rsid w:val="00F5359F"/>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535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9F"/>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F5359F"/>
    <w:rPr>
      <w:b/>
      <w:bCs/>
    </w:rPr>
  </w:style>
  <w:style w:type="character" w:customStyle="1" w:styleId="CommentSubjectChar">
    <w:name w:val="Comment Subject Char"/>
    <w:basedOn w:val="CommentTextChar"/>
    <w:link w:val="CommentSubject"/>
    <w:uiPriority w:val="99"/>
    <w:semiHidden/>
    <w:rsid w:val="00F5359F"/>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976F11"/>
    <w:rPr>
      <w:rFonts w:asciiTheme="majorHAnsi" w:eastAsiaTheme="majorEastAsia" w:hAnsiTheme="majorHAnsi" w:cstheme="majorBidi"/>
      <w:b/>
      <w:bCs/>
      <w:color w:val="5B9BD5" w:themeColor="accent1"/>
      <w:sz w:val="26"/>
      <w:szCs w:val="26"/>
    </w:rPr>
  </w:style>
  <w:style w:type="character" w:customStyle="1" w:styleId="ListParagraphChar">
    <w:name w:val="List Paragraph Char"/>
    <w:link w:val="ListParagraph"/>
    <w:uiPriority w:val="34"/>
    <w:rsid w:val="00976F11"/>
    <w:rPr>
      <w:rFonts w:ascii="Calibri" w:eastAsia="Calibri" w:hAnsi="Calibri" w:cs="Times New Roman"/>
    </w:rPr>
  </w:style>
  <w:style w:type="character" w:styleId="BookTitle">
    <w:name w:val="Book Title"/>
    <w:basedOn w:val="DefaultParagraphFont"/>
    <w:uiPriority w:val="33"/>
    <w:qFormat/>
    <w:rsid w:val="008E181C"/>
  </w:style>
  <w:style w:type="paragraph" w:styleId="TOC2">
    <w:name w:val="toc 2"/>
    <w:basedOn w:val="Normal"/>
    <w:next w:val="Normal"/>
    <w:autoRedefine/>
    <w:uiPriority w:val="39"/>
    <w:unhideWhenUsed/>
    <w:rsid w:val="002F2AA4"/>
    <w:pPr>
      <w:spacing w:after="100"/>
      <w:ind w:left="220"/>
    </w:pPr>
  </w:style>
  <w:style w:type="paragraph" w:styleId="PlainText">
    <w:name w:val="Plain Text"/>
    <w:basedOn w:val="Normal"/>
    <w:link w:val="PlainTextChar"/>
    <w:uiPriority w:val="99"/>
    <w:unhideWhenUsed/>
    <w:rsid w:val="00ED468C"/>
    <w:pPr>
      <w:spacing w:after="0" w:line="240" w:lineRule="auto"/>
    </w:pPr>
    <w:rPr>
      <w:rFonts w:eastAsiaTheme="minorHAnsi"/>
    </w:rPr>
  </w:style>
  <w:style w:type="character" w:customStyle="1" w:styleId="PlainTextChar">
    <w:name w:val="Plain Text Char"/>
    <w:basedOn w:val="DefaultParagraphFont"/>
    <w:link w:val="PlainText"/>
    <w:uiPriority w:val="99"/>
    <w:rsid w:val="00ED468C"/>
    <w:rPr>
      <w:rFonts w:ascii="Calibri" w:hAnsi="Calibri" w:cs="Times New Roman"/>
    </w:rPr>
  </w:style>
  <w:style w:type="paragraph" w:customStyle="1" w:styleId="EndnoteText1">
    <w:name w:val="Endnote Text1"/>
    <w:basedOn w:val="Normal"/>
    <w:rsid w:val="00016ED4"/>
    <w:pPr>
      <w:adjustRightInd w:val="0"/>
      <w:spacing w:after="120" w:line="240" w:lineRule="auto"/>
      <w:ind w:left="720" w:hanging="720"/>
      <w:jc w:val="both"/>
    </w:pPr>
    <w:rPr>
      <w:rFonts w:ascii="Times New Roman" w:eastAsia="STZhongsong" w:hAnsi="Times New Roman"/>
      <w:sz w:val="18"/>
      <w:szCs w:val="20"/>
      <w:lang w:val="en-GB" w:eastAsia="zh-CN"/>
    </w:rPr>
  </w:style>
  <w:style w:type="character" w:customStyle="1" w:styleId="apple-tab-span">
    <w:name w:val="apple-tab-span"/>
    <w:basedOn w:val="DefaultParagraphFont"/>
    <w:rsid w:val="00B71CFD"/>
  </w:style>
  <w:style w:type="character" w:styleId="FollowedHyperlink">
    <w:name w:val="FollowedHyperlink"/>
    <w:basedOn w:val="DefaultParagraphFont"/>
    <w:uiPriority w:val="99"/>
    <w:semiHidden/>
    <w:unhideWhenUsed/>
    <w:rsid w:val="00180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4949">
      <w:bodyDiv w:val="1"/>
      <w:marLeft w:val="0"/>
      <w:marRight w:val="0"/>
      <w:marTop w:val="0"/>
      <w:marBottom w:val="0"/>
      <w:divBdr>
        <w:top w:val="none" w:sz="0" w:space="0" w:color="auto"/>
        <w:left w:val="none" w:sz="0" w:space="0" w:color="auto"/>
        <w:bottom w:val="none" w:sz="0" w:space="0" w:color="auto"/>
        <w:right w:val="none" w:sz="0" w:space="0" w:color="auto"/>
      </w:divBdr>
    </w:div>
    <w:div w:id="569770301">
      <w:bodyDiv w:val="1"/>
      <w:marLeft w:val="0"/>
      <w:marRight w:val="0"/>
      <w:marTop w:val="0"/>
      <w:marBottom w:val="0"/>
      <w:divBdr>
        <w:top w:val="none" w:sz="0" w:space="0" w:color="auto"/>
        <w:left w:val="none" w:sz="0" w:space="0" w:color="auto"/>
        <w:bottom w:val="none" w:sz="0" w:space="0" w:color="auto"/>
        <w:right w:val="none" w:sz="0" w:space="0" w:color="auto"/>
      </w:divBdr>
    </w:div>
    <w:div w:id="622924368">
      <w:bodyDiv w:val="1"/>
      <w:marLeft w:val="0"/>
      <w:marRight w:val="0"/>
      <w:marTop w:val="0"/>
      <w:marBottom w:val="0"/>
      <w:divBdr>
        <w:top w:val="none" w:sz="0" w:space="0" w:color="auto"/>
        <w:left w:val="none" w:sz="0" w:space="0" w:color="auto"/>
        <w:bottom w:val="none" w:sz="0" w:space="0" w:color="auto"/>
        <w:right w:val="none" w:sz="0" w:space="0" w:color="auto"/>
      </w:divBdr>
    </w:div>
    <w:div w:id="700712707">
      <w:bodyDiv w:val="1"/>
      <w:marLeft w:val="0"/>
      <w:marRight w:val="0"/>
      <w:marTop w:val="0"/>
      <w:marBottom w:val="0"/>
      <w:divBdr>
        <w:top w:val="none" w:sz="0" w:space="0" w:color="auto"/>
        <w:left w:val="none" w:sz="0" w:space="0" w:color="auto"/>
        <w:bottom w:val="none" w:sz="0" w:space="0" w:color="auto"/>
        <w:right w:val="none" w:sz="0" w:space="0" w:color="auto"/>
      </w:divBdr>
    </w:div>
    <w:div w:id="740441894">
      <w:bodyDiv w:val="1"/>
      <w:marLeft w:val="0"/>
      <w:marRight w:val="0"/>
      <w:marTop w:val="0"/>
      <w:marBottom w:val="0"/>
      <w:divBdr>
        <w:top w:val="none" w:sz="0" w:space="0" w:color="auto"/>
        <w:left w:val="none" w:sz="0" w:space="0" w:color="auto"/>
        <w:bottom w:val="none" w:sz="0" w:space="0" w:color="auto"/>
        <w:right w:val="none" w:sz="0" w:space="0" w:color="auto"/>
      </w:divBdr>
    </w:div>
    <w:div w:id="822507372">
      <w:bodyDiv w:val="1"/>
      <w:marLeft w:val="0"/>
      <w:marRight w:val="0"/>
      <w:marTop w:val="0"/>
      <w:marBottom w:val="0"/>
      <w:divBdr>
        <w:top w:val="none" w:sz="0" w:space="0" w:color="auto"/>
        <w:left w:val="none" w:sz="0" w:space="0" w:color="auto"/>
        <w:bottom w:val="none" w:sz="0" w:space="0" w:color="auto"/>
        <w:right w:val="none" w:sz="0" w:space="0" w:color="auto"/>
      </w:divBdr>
    </w:div>
    <w:div w:id="1181819461">
      <w:bodyDiv w:val="1"/>
      <w:marLeft w:val="0"/>
      <w:marRight w:val="0"/>
      <w:marTop w:val="0"/>
      <w:marBottom w:val="0"/>
      <w:divBdr>
        <w:top w:val="none" w:sz="0" w:space="0" w:color="auto"/>
        <w:left w:val="none" w:sz="0" w:space="0" w:color="auto"/>
        <w:bottom w:val="none" w:sz="0" w:space="0" w:color="auto"/>
        <w:right w:val="none" w:sz="0" w:space="0" w:color="auto"/>
      </w:divBdr>
    </w:div>
    <w:div w:id="1690794537">
      <w:bodyDiv w:val="1"/>
      <w:marLeft w:val="0"/>
      <w:marRight w:val="0"/>
      <w:marTop w:val="0"/>
      <w:marBottom w:val="0"/>
      <w:divBdr>
        <w:top w:val="none" w:sz="0" w:space="0" w:color="auto"/>
        <w:left w:val="none" w:sz="0" w:space="0" w:color="auto"/>
        <w:bottom w:val="none" w:sz="0" w:space="0" w:color="auto"/>
        <w:right w:val="none" w:sz="0" w:space="0" w:color="auto"/>
      </w:divBdr>
    </w:div>
    <w:div w:id="1890876562">
      <w:bodyDiv w:val="1"/>
      <w:marLeft w:val="0"/>
      <w:marRight w:val="0"/>
      <w:marTop w:val="0"/>
      <w:marBottom w:val="0"/>
      <w:divBdr>
        <w:top w:val="none" w:sz="0" w:space="0" w:color="auto"/>
        <w:left w:val="none" w:sz="0" w:space="0" w:color="auto"/>
        <w:bottom w:val="none" w:sz="0" w:space="0" w:color="auto"/>
        <w:right w:val="none" w:sz="0" w:space="0" w:color="auto"/>
      </w:divBdr>
    </w:div>
    <w:div w:id="209212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mailto:director@dpoa.org.au" TargetMode="External"/><Relationship Id="rId11" Type="http://schemas.openxmlformats.org/officeDocument/2006/relationships/hyperlink" Target="mailto:thereses@pwd.org.au" TargetMode="External"/><Relationship Id="rId12" Type="http://schemas.openxmlformats.org/officeDocument/2006/relationships/hyperlink" Target="http://fpdn.org.au/" TargetMode="External"/><Relationship Id="rId13" Type="http://schemas.openxmlformats.org/officeDocument/2006/relationships/hyperlink" Target="http://www.wwda.org.au" TargetMode="External"/><Relationship Id="rId14" Type="http://schemas.openxmlformats.org/officeDocument/2006/relationships/hyperlink" Target="http://neda.org.au/" TargetMode="External"/><Relationship Id="rId15" Type="http://schemas.openxmlformats.org/officeDocument/2006/relationships/hyperlink" Target="http://pwd.org.au" TargetMode="External"/><Relationship Id="rId16" Type="http://schemas.openxmlformats.org/officeDocument/2006/relationships/image" Target="media/image2.jpeg"/><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image" Target="media/image5.gi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ph.gov.au/Parliamentary_Business/Committees/Senate/Community_Affairs/Violence_abuse_neglect/Report" TargetMode="External"/><Relationship Id="rId4" Type="http://schemas.openxmlformats.org/officeDocument/2006/relationships/hyperlink" Target="http://dpoa.org.au/civil-society-statement-rc/" TargetMode="External"/><Relationship Id="rId5" Type="http://schemas.openxmlformats.org/officeDocument/2006/relationships/hyperlink" Target="http://www.aph.gov.au/Parliamentary_Business/Committees/Senate/Community_Affairs/Violence_abuse_neglect/Government_Response" TargetMode="External"/><Relationship Id="rId6" Type="http://schemas.openxmlformats.org/officeDocument/2006/relationships/hyperlink" Target="http://www.abc.net.au/news/2017-02-09/australia-pledges-to-ratify-opcat-torture-treaty/8255782" TargetMode="External"/><Relationship Id="rId7" Type="http://schemas.openxmlformats.org/officeDocument/2006/relationships/hyperlink" Target="https://www.dss.gov.au/sites/default/files/documents/04_2017/ndis_quality_and_safeguarding_framework_final.pdf" TargetMode="External"/><Relationship Id="rId8" Type="http://schemas.openxmlformats.org/officeDocument/2006/relationships/hyperlink" Target="https://www.alrc.gov.au/publications/equality-capacity-disability-report-124" TargetMode="External"/><Relationship Id="rId9" Type="http://schemas.openxmlformats.org/officeDocument/2006/relationships/hyperlink" Target="http://dpoa.org.au/call-for-stronger-engagement-with-people-with-disability-in-the-national-disability-insurance-scheme-ndis/" TargetMode="External"/><Relationship Id="rId1" Type="http://schemas.openxmlformats.org/officeDocument/2006/relationships/hyperlink" Target="http://dpoa.org.au/civil-society-statement-rc/" TargetMode="External"/><Relationship Id="rId2" Type="http://schemas.openxmlformats.org/officeDocument/2006/relationships/hyperlink" Target="http://www.aph.gov.au/Parliamentary_Business/Committees/Senate/Community_Affairs/Violence_abuse_neglec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C37EB-D6BC-DF44-A2CE-393632D0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5026</Words>
  <Characters>28651</Characters>
  <Application>Microsoft Macintosh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 Lea</dc:creator>
  <cp:lastModifiedBy>Carolyn Frohmader</cp:lastModifiedBy>
  <cp:revision>2</cp:revision>
  <dcterms:created xsi:type="dcterms:W3CDTF">2017-07-30T11:08:00Z</dcterms:created>
  <dcterms:modified xsi:type="dcterms:W3CDTF">2017-07-30T11:08:00Z</dcterms:modified>
</cp:coreProperties>
</file>