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8E7C4" w14:textId="77777777" w:rsidR="009A10BC" w:rsidRPr="006469E8" w:rsidRDefault="001E6FE0" w:rsidP="006469E8">
      <w:pPr>
        <w:spacing w:line="276" w:lineRule="auto"/>
        <w:rPr>
          <w:rFonts w:ascii="Proxima Nova" w:hAnsi="Proxima Nova" w:cs="Open Sans"/>
          <w:color w:val="222222"/>
        </w:rPr>
      </w:pPr>
      <w:r w:rsidRPr="006469E8">
        <w:rPr>
          <w:rFonts w:ascii="Proxima Nova" w:hAnsi="Proxima Nova" w:cs="Open Sans"/>
          <w:color w:val="222222"/>
          <w:shd w:val="clear" w:color="auto" w:fill="FFFFFF"/>
        </w:rPr>
        <w:t>Committee Secretary</w:t>
      </w:r>
      <w:r w:rsidRPr="006469E8">
        <w:rPr>
          <w:rFonts w:ascii="Proxima Nova" w:hAnsi="Proxima Nova" w:cs="Open Sans"/>
          <w:color w:val="222222"/>
        </w:rPr>
        <w:br/>
      </w:r>
      <w:r w:rsidRPr="006469E8">
        <w:rPr>
          <w:rFonts w:ascii="Proxima Nova" w:hAnsi="Proxima Nova" w:cs="Open Sans"/>
          <w:color w:val="222222"/>
          <w:shd w:val="clear" w:color="auto" w:fill="FFFFFF"/>
        </w:rPr>
        <w:t>Senate Legal and Constitutional Affairs Committee</w:t>
      </w:r>
      <w:r w:rsidRPr="006469E8">
        <w:rPr>
          <w:rFonts w:ascii="Proxima Nova" w:hAnsi="Proxima Nova" w:cs="Open Sans"/>
          <w:color w:val="222222"/>
        </w:rPr>
        <w:br/>
      </w:r>
      <w:r w:rsidRPr="006469E8">
        <w:rPr>
          <w:rFonts w:ascii="Proxima Nova" w:hAnsi="Proxima Nova" w:cs="Open Sans"/>
          <w:color w:val="222222"/>
          <w:shd w:val="clear" w:color="auto" w:fill="FFFFFF"/>
        </w:rPr>
        <w:t>PO Box 6100</w:t>
      </w:r>
      <w:r w:rsidRPr="006469E8">
        <w:rPr>
          <w:rFonts w:ascii="Proxima Nova" w:hAnsi="Proxima Nova" w:cs="Open Sans"/>
          <w:color w:val="222222"/>
        </w:rPr>
        <w:br/>
      </w:r>
      <w:r w:rsidRPr="006469E8">
        <w:rPr>
          <w:rFonts w:ascii="Proxima Nova" w:hAnsi="Proxima Nova" w:cs="Open Sans"/>
          <w:color w:val="222222"/>
          <w:shd w:val="clear" w:color="auto" w:fill="FFFFFF"/>
        </w:rPr>
        <w:t>Parliament House</w:t>
      </w:r>
      <w:r w:rsidRPr="006469E8">
        <w:rPr>
          <w:rFonts w:ascii="Proxima Nova" w:hAnsi="Proxima Nova" w:cs="Open Sans"/>
          <w:color w:val="222222"/>
        </w:rPr>
        <w:br/>
      </w:r>
      <w:r w:rsidRPr="006469E8">
        <w:rPr>
          <w:rFonts w:ascii="Proxima Nova" w:hAnsi="Proxima Nova" w:cs="Open Sans"/>
          <w:color w:val="222222"/>
          <w:shd w:val="clear" w:color="auto" w:fill="FFFFFF"/>
        </w:rPr>
        <w:t>Canberra ACT 2600</w:t>
      </w:r>
      <w:r w:rsidRPr="006469E8">
        <w:rPr>
          <w:rFonts w:ascii="Proxima Nova" w:hAnsi="Proxima Nova" w:cs="Open Sans"/>
          <w:color w:val="222222"/>
        </w:rPr>
        <w:br/>
      </w:r>
    </w:p>
    <w:p w14:paraId="7CB0D63C" w14:textId="53800279" w:rsidR="001E6FE0" w:rsidRPr="006469E8" w:rsidRDefault="001E6FE0" w:rsidP="006469E8">
      <w:pPr>
        <w:spacing w:line="276" w:lineRule="auto"/>
        <w:rPr>
          <w:rFonts w:ascii="Proxima Nova" w:hAnsi="Proxima Nova"/>
          <w:color w:val="000000" w:themeColor="text1"/>
        </w:rPr>
      </w:pPr>
      <w:r w:rsidRPr="006469E8">
        <w:rPr>
          <w:rFonts w:ascii="Proxima Nova" w:hAnsi="Proxima Nova" w:cs="Open Sans"/>
          <w:shd w:val="clear" w:color="auto" w:fill="FFFFFF"/>
        </w:rPr>
        <w:br/>
      </w:r>
      <w:r w:rsidRPr="006469E8">
        <w:rPr>
          <w:rFonts w:ascii="Proxima Nova" w:hAnsi="Proxima Nova"/>
        </w:rPr>
        <w:t xml:space="preserve">To the </w:t>
      </w:r>
      <w:r w:rsidRPr="006469E8">
        <w:rPr>
          <w:rFonts w:ascii="Proxima Nova" w:hAnsi="Proxima Nova" w:cs="Open Sans"/>
          <w:color w:val="222222"/>
          <w:shd w:val="clear" w:color="auto" w:fill="FFFFFF"/>
        </w:rPr>
        <w:t xml:space="preserve">Senate Legal and Constitutional Affairs Committee. </w:t>
      </w:r>
      <w:r w:rsidRPr="006469E8">
        <w:rPr>
          <w:rFonts w:ascii="Proxima Nova" w:hAnsi="Proxima Nova" w:cs="Open Sans"/>
          <w:color w:val="222222"/>
          <w:shd w:val="clear" w:color="auto" w:fill="FFFFFF"/>
        </w:rPr>
        <w:br/>
      </w:r>
      <w:r w:rsidRPr="006469E8">
        <w:rPr>
          <w:rFonts w:ascii="Proxima Nova" w:hAnsi="Proxima Nova" w:cs="Open Sans"/>
          <w:color w:val="222222"/>
          <w:shd w:val="clear" w:color="auto" w:fill="FFFFFF"/>
        </w:rPr>
        <w:br/>
      </w:r>
      <w:r w:rsidRPr="006469E8">
        <w:rPr>
          <w:rFonts w:ascii="Proxima Nova" w:hAnsi="Proxima Nova"/>
          <w:color w:val="000000" w:themeColor="text1"/>
        </w:rPr>
        <w:t xml:space="preserve">I write to you on behalf of Women With Disabilities Australia (WWDA) concerning the Senate inquiry into the current and proposed sexual consent laws in Australia. This letter is informed by feedback from our membership, including women and girls with disability, their parents, carers, support people and representative networks; as well as our existing library of research and publications on the sexual and reproductive health and rights of women and girls with disability. </w:t>
      </w:r>
    </w:p>
    <w:p w14:paraId="550FB842" w14:textId="61C7B2A5" w:rsidR="001E6FE0" w:rsidRPr="006469E8" w:rsidRDefault="001E6FE0" w:rsidP="006469E8">
      <w:pPr>
        <w:spacing w:line="276" w:lineRule="auto"/>
        <w:rPr>
          <w:rFonts w:ascii="Proxima Nova" w:hAnsi="Proxima Nova"/>
          <w:color w:val="000000" w:themeColor="text1"/>
        </w:rPr>
      </w:pPr>
    </w:p>
    <w:p w14:paraId="327AAEC7" w14:textId="77777777" w:rsidR="001E6FE0" w:rsidRPr="006469E8" w:rsidRDefault="001E6FE0" w:rsidP="006469E8">
      <w:pPr>
        <w:spacing w:line="276" w:lineRule="auto"/>
        <w:rPr>
          <w:rFonts w:ascii="Proxima Nova" w:hAnsi="Proxima Nova"/>
          <w:color w:val="000000" w:themeColor="text1"/>
        </w:rPr>
      </w:pPr>
      <w:r w:rsidRPr="006469E8">
        <w:rPr>
          <w:rFonts w:ascii="Proxima Nova" w:hAnsi="Proxima Nova"/>
          <w:color w:val="000000" w:themeColor="text1"/>
        </w:rPr>
        <w:t>As you may be aware, WWDA is the National Disabled People’s Organisation (DPO) and National Women’s Alliance (NWA) for women, girls, feminine identifying, and non-binary people with disability in Australia. As a DPO</w:t>
      </w:r>
      <w:r w:rsidRPr="006469E8">
        <w:rPr>
          <w:rFonts w:ascii="Proxima Nova" w:hAnsi="Proxima Nova"/>
          <w:color w:val="000000" w:themeColor="text1"/>
          <w:vertAlign w:val="superscript"/>
        </w:rPr>
        <w:footnoteReference w:id="1"/>
      </w:r>
      <w:r w:rsidRPr="006469E8">
        <w:rPr>
          <w:rFonts w:ascii="Proxima Nova" w:hAnsi="Proxima Nova"/>
          <w:color w:val="000000" w:themeColor="text1"/>
        </w:rPr>
        <w:t xml:space="preserve"> and an NWA,</w:t>
      </w:r>
      <w:r w:rsidRPr="006469E8">
        <w:rPr>
          <w:rFonts w:ascii="Proxima Nova" w:hAnsi="Proxima Nova"/>
          <w:color w:val="000000" w:themeColor="text1"/>
          <w:vertAlign w:val="superscript"/>
        </w:rPr>
        <w:footnoteReference w:id="2"/>
      </w:r>
      <w:r w:rsidRPr="006469E8">
        <w:rPr>
          <w:rFonts w:ascii="Proxima Nova" w:hAnsi="Proxima Nova"/>
          <w:color w:val="000000" w:themeColor="text1"/>
        </w:rPr>
        <w:t xml:space="preserve"> WWDA is governed, run, led, staffed by, and constituted of, women, girls, feminine identifying, and non-binary people with disability. WWDA uses the term ‘women and girls with disability’, on the understanding that this term is inclusive and supportive of, women and girls with disability along with feminine identifying and nonbinary people with disability in Australia. </w:t>
      </w:r>
    </w:p>
    <w:p w14:paraId="451D40ED" w14:textId="41B59C7D" w:rsidR="001E6FE0" w:rsidRPr="006469E8" w:rsidRDefault="001E6FE0" w:rsidP="006469E8">
      <w:pPr>
        <w:spacing w:line="276" w:lineRule="auto"/>
        <w:rPr>
          <w:rFonts w:ascii="Proxima Nova" w:hAnsi="Proxima Nova"/>
          <w:color w:val="000000" w:themeColor="text1"/>
        </w:rPr>
      </w:pPr>
    </w:p>
    <w:p w14:paraId="521396FD" w14:textId="55387A5C" w:rsidR="00637D89" w:rsidRPr="006469E8" w:rsidRDefault="001E6FE0" w:rsidP="006469E8">
      <w:pPr>
        <w:spacing w:line="276" w:lineRule="auto"/>
        <w:rPr>
          <w:rFonts w:ascii="Proxima Nova" w:hAnsi="Proxima Nova"/>
          <w:color w:val="000000" w:themeColor="text1"/>
          <w:lang w:val="en-GB"/>
        </w:rPr>
      </w:pPr>
      <w:r w:rsidRPr="006469E8">
        <w:rPr>
          <w:rFonts w:ascii="Proxima Nova" w:hAnsi="Proxima Nova"/>
          <w:color w:val="000000" w:themeColor="text1"/>
        </w:rPr>
        <w:t xml:space="preserve">While it is well established that </w:t>
      </w:r>
      <w:r w:rsidRPr="006469E8">
        <w:rPr>
          <w:rFonts w:ascii="Proxima Nova" w:hAnsi="Proxima Nova"/>
        </w:rPr>
        <w:t xml:space="preserve">women and girls with disability are more likely than non-disabled women and girls to be subject to all forms of gender-based violence, state and national </w:t>
      </w:r>
      <w:r w:rsidRPr="006469E8">
        <w:rPr>
          <w:rFonts w:ascii="Proxima Nova" w:hAnsi="Proxima Nova"/>
          <w:color w:val="000000" w:themeColor="text1"/>
          <w:lang w:val="en-GB"/>
        </w:rPr>
        <w:t xml:space="preserve">sexual violence law reform reviews have rarely explored the </w:t>
      </w:r>
      <w:r w:rsidRPr="006469E8">
        <w:rPr>
          <w:rFonts w:ascii="Proxima Nova" w:hAnsi="Proxima Nova"/>
          <w:color w:val="000000" w:themeColor="text1"/>
          <w:lang w:val="en-GB"/>
        </w:rPr>
        <w:lastRenderedPageBreak/>
        <w:t xml:space="preserve">specific dynamics of their experiences of sexual violence, including dynamics of consent, </w:t>
      </w:r>
      <w:r w:rsidR="00637D89" w:rsidRPr="006469E8">
        <w:rPr>
          <w:rFonts w:ascii="Proxima Nova" w:hAnsi="Proxima Nova"/>
          <w:color w:val="000000" w:themeColor="text1"/>
          <w:lang w:val="en-GB"/>
        </w:rPr>
        <w:t xml:space="preserve">capacity </w:t>
      </w:r>
      <w:r w:rsidRPr="006469E8">
        <w:rPr>
          <w:rFonts w:ascii="Proxima Nova" w:hAnsi="Proxima Nova"/>
          <w:color w:val="000000" w:themeColor="text1"/>
          <w:lang w:val="en-GB"/>
        </w:rPr>
        <w:t>and control</w:t>
      </w:r>
      <w:r w:rsidRPr="006469E8">
        <w:rPr>
          <w:rFonts w:ascii="Proxima Nova" w:hAnsi="Proxima Nova"/>
        </w:rPr>
        <w:t>.</w:t>
      </w:r>
      <w:r w:rsidRPr="006469E8">
        <w:rPr>
          <w:rStyle w:val="FootnoteReference"/>
          <w:rFonts w:ascii="Proxima Nova" w:hAnsi="Proxima Nova"/>
        </w:rPr>
        <w:footnoteReference w:id="3"/>
      </w:r>
      <w:r w:rsidRPr="006469E8">
        <w:rPr>
          <w:rFonts w:ascii="Proxima Nova" w:hAnsi="Proxima Nova"/>
        </w:rPr>
        <w:t xml:space="preserve"> </w:t>
      </w:r>
      <w:r w:rsidRPr="006469E8">
        <w:rPr>
          <w:rFonts w:ascii="Proxima Nova" w:hAnsi="Proxima Nova"/>
          <w:color w:val="000000" w:themeColor="text1"/>
          <w:lang w:val="en-GB"/>
        </w:rPr>
        <w:t>In this letter, WWDA attempts to highlight some of the ways that women and girls with disability have been omitted from current</w:t>
      </w:r>
      <w:r w:rsidR="00F450FF" w:rsidRPr="006469E8">
        <w:rPr>
          <w:rFonts w:ascii="Proxima Nova" w:hAnsi="Proxima Nova"/>
          <w:color w:val="000000" w:themeColor="text1"/>
          <w:lang w:val="en-GB"/>
        </w:rPr>
        <w:t xml:space="preserve"> </w:t>
      </w:r>
      <w:r w:rsidRPr="006469E8">
        <w:rPr>
          <w:rFonts w:ascii="Proxima Nova" w:hAnsi="Proxima Nova"/>
          <w:color w:val="000000" w:themeColor="text1"/>
          <w:lang w:val="en-GB"/>
        </w:rPr>
        <w:t xml:space="preserve">conversations around reforming </w:t>
      </w:r>
      <w:r w:rsidR="00637D89" w:rsidRPr="006469E8">
        <w:rPr>
          <w:rFonts w:ascii="Proxima Nova" w:hAnsi="Proxima Nova"/>
          <w:color w:val="000000" w:themeColor="text1"/>
          <w:lang w:val="en-GB"/>
        </w:rPr>
        <w:t xml:space="preserve">sexual </w:t>
      </w:r>
      <w:r w:rsidRPr="006469E8">
        <w:rPr>
          <w:rFonts w:ascii="Proxima Nova" w:hAnsi="Proxima Nova"/>
          <w:color w:val="000000" w:themeColor="text1"/>
          <w:lang w:val="en-GB"/>
        </w:rPr>
        <w:t xml:space="preserve">consent legislation in Australia, and provides recommendations for how these can be addressed. </w:t>
      </w:r>
      <w:r w:rsidR="00637D89" w:rsidRPr="006469E8">
        <w:rPr>
          <w:rFonts w:ascii="Proxima Nova" w:hAnsi="Proxima Nova"/>
          <w:color w:val="000000" w:themeColor="text1"/>
          <w:lang w:val="en-GB"/>
        </w:rPr>
        <w:t xml:space="preserve">Noting the specific scope of the inquiry, this letter will refer specifically to the considerations for women with disability when determining their consent to sexual activity. However, we emphasise that there is also an urgent need to investigate the barriers that prevent women and girls with disability from exercising autonomous decision making on a broad array of matters concerning their sexual and reproductive health, such as their use of contraception, ability or willingness to bear children, means of managing menstruation and more. </w:t>
      </w:r>
    </w:p>
    <w:p w14:paraId="56FBB0CD" w14:textId="77777777" w:rsidR="00637D89" w:rsidRPr="00540AC1" w:rsidRDefault="00637D89" w:rsidP="006469E8">
      <w:pPr>
        <w:spacing w:line="276" w:lineRule="auto"/>
        <w:rPr>
          <w:rFonts w:ascii="Proxima Nova" w:hAnsi="Proxima Nova"/>
          <w:color w:val="942092"/>
          <w:lang w:val="en-GB"/>
        </w:rPr>
      </w:pPr>
    </w:p>
    <w:p w14:paraId="41B98C79" w14:textId="77777777" w:rsidR="00637D89" w:rsidRPr="00540AC1" w:rsidRDefault="00637D89" w:rsidP="006469E8">
      <w:pPr>
        <w:spacing w:line="276" w:lineRule="auto"/>
        <w:rPr>
          <w:rFonts w:ascii="Proxima Nova" w:hAnsi="Proxima Nova"/>
          <w:b/>
          <w:bCs/>
          <w:color w:val="823789"/>
          <w:lang w:val="en-GB"/>
        </w:rPr>
      </w:pPr>
      <w:r w:rsidRPr="00540AC1">
        <w:rPr>
          <w:rFonts w:ascii="Proxima Nova" w:hAnsi="Proxima Nova"/>
          <w:b/>
          <w:bCs/>
          <w:color w:val="823789"/>
          <w:lang w:val="en-GB"/>
        </w:rPr>
        <w:t xml:space="preserve">National Harmonisation </w:t>
      </w:r>
    </w:p>
    <w:p w14:paraId="1BBC07A2" w14:textId="77777777" w:rsidR="00637D89" w:rsidRPr="006469E8" w:rsidRDefault="00637D89" w:rsidP="006469E8">
      <w:pPr>
        <w:spacing w:line="276" w:lineRule="auto"/>
        <w:rPr>
          <w:rFonts w:ascii="Proxima Nova" w:hAnsi="Proxima Nova"/>
          <w:b/>
          <w:bCs/>
          <w:color w:val="7030A0"/>
          <w:lang w:val="en-GB"/>
        </w:rPr>
      </w:pPr>
    </w:p>
    <w:p w14:paraId="64E17425" w14:textId="258F811C" w:rsidR="009A10BC" w:rsidRPr="006469E8" w:rsidRDefault="009A10BC" w:rsidP="006469E8">
      <w:pPr>
        <w:spacing w:line="276" w:lineRule="auto"/>
        <w:rPr>
          <w:rFonts w:ascii="Proxima Nova" w:hAnsi="Proxima Nova"/>
          <w:color w:val="000000" w:themeColor="text1"/>
        </w:rPr>
      </w:pPr>
      <w:r w:rsidRPr="006469E8">
        <w:rPr>
          <w:rFonts w:ascii="Proxima Nova" w:hAnsi="Proxima Nova"/>
          <w:color w:val="000000" w:themeColor="text1"/>
        </w:rPr>
        <w:t xml:space="preserve">Although the Australian Government </w:t>
      </w:r>
      <w:r w:rsidR="002E2ECD">
        <w:rPr>
          <w:rFonts w:ascii="Proxima Nova" w:hAnsi="Proxima Nova"/>
          <w:color w:val="000000" w:themeColor="text1"/>
        </w:rPr>
        <w:t xml:space="preserve">has made an ongoing </w:t>
      </w:r>
      <w:r w:rsidRPr="006469E8">
        <w:rPr>
          <w:rFonts w:ascii="Proxima Nova" w:hAnsi="Proxima Nova"/>
          <w:color w:val="000000" w:themeColor="text1"/>
        </w:rPr>
        <w:t xml:space="preserve">committed in </w:t>
      </w:r>
      <w:r w:rsidR="002E2ECD">
        <w:rPr>
          <w:rFonts w:ascii="Proxima Nova" w:hAnsi="Proxima Nova"/>
          <w:color w:val="000000" w:themeColor="text1"/>
        </w:rPr>
        <w:t>all iterations of the</w:t>
      </w:r>
      <w:r w:rsidRPr="006469E8">
        <w:rPr>
          <w:rFonts w:ascii="Proxima Nova" w:hAnsi="Proxima Nova"/>
          <w:color w:val="000000" w:themeColor="text1"/>
        </w:rPr>
        <w:t xml:space="preserve"> ‘The National Plan to Reduce Violence against Women‘ (National Plan) to tackling all forms of violence against women and girls at a national level;</w:t>
      </w:r>
      <w:r w:rsidRPr="006469E8">
        <w:rPr>
          <w:rStyle w:val="FootnoteReference"/>
          <w:rFonts w:ascii="Proxima Nova" w:hAnsi="Proxima Nova"/>
          <w:color w:val="000000" w:themeColor="text1"/>
        </w:rPr>
        <w:footnoteReference w:id="4"/>
      </w:r>
      <w:r w:rsidRPr="006469E8">
        <w:rPr>
          <w:rFonts w:ascii="Proxima Nova" w:hAnsi="Proxima Nova"/>
          <w:color w:val="000000" w:themeColor="text1"/>
        </w:rPr>
        <w:t xml:space="preserve"> there remains minimal consistency across states and territories in their laws concerning gender-based violence. Despite national advocacy efforts to respond to sexual harassment and violence in recent years for example, there is vast differences in state and territory sexual violence legislation. </w:t>
      </w:r>
      <w:r w:rsidRPr="006469E8">
        <w:rPr>
          <w:rFonts w:ascii="Proxima Nova" w:hAnsi="Proxima Nova"/>
          <w:color w:val="000000" w:themeColor="text1"/>
        </w:rPr>
        <w:br/>
      </w:r>
      <w:r w:rsidRPr="006469E8">
        <w:rPr>
          <w:rFonts w:ascii="Proxima Nova" w:hAnsi="Proxima Nova"/>
          <w:color w:val="000000" w:themeColor="text1"/>
        </w:rPr>
        <w:br/>
        <w:t xml:space="preserve">Alongside many other sector advocates, WWDA endorses the move to harmonise sexual assault and consent legislation, noting that all proposed models to date require work to ensure they are inclusive of the broad range of ways and settings in which women and girls with disability experience sexual violence. </w:t>
      </w:r>
      <w:r w:rsidRPr="006469E8">
        <w:rPr>
          <w:rFonts w:ascii="Proxima Nova" w:hAnsi="Proxima Nova"/>
          <w:color w:val="000000" w:themeColor="text1"/>
        </w:rPr>
        <w:br/>
      </w:r>
      <w:r w:rsidRPr="006469E8">
        <w:rPr>
          <w:rFonts w:ascii="Proxima Nova" w:hAnsi="Proxima Nova"/>
          <w:color w:val="000000" w:themeColor="text1"/>
        </w:rPr>
        <w:br/>
        <w:t xml:space="preserve">While most definitions of consent refer to sexual consent within intimate partner </w:t>
      </w:r>
      <w:r w:rsidRPr="006469E8">
        <w:rPr>
          <w:rFonts w:ascii="Proxima Nova" w:hAnsi="Proxima Nova"/>
          <w:color w:val="000000" w:themeColor="text1"/>
        </w:rPr>
        <w:lastRenderedPageBreak/>
        <w:t xml:space="preserve">sexual relations in private, home settings, for example, legislation will only be protective of women with disability if it recognises that perpetrators can also be parents, carers, support workers and medical professionals and that sexual violence occurs across both private and public institutions. As WWDA has consistently stated in response to continuous government inquiries, any reforms to legislation should also incorporate a human rights framework that aligns with Australia’s obligations under United Nations instruments such as the e </w:t>
      </w:r>
      <w:r w:rsidRPr="006469E8">
        <w:rPr>
          <w:rFonts w:ascii="Proxima Nova" w:hAnsi="Proxima Nova"/>
          <w:i/>
          <w:iCs/>
          <w:color w:val="000000" w:themeColor="text1"/>
        </w:rPr>
        <w:t>Convention on the Elimination of All Forms of Discrimination Against Women (CEDAW) ([1983] ATS 9)</w:t>
      </w:r>
      <w:r w:rsidRPr="006469E8">
        <w:rPr>
          <w:rFonts w:ascii="Proxima Nova" w:hAnsi="Proxima Nova"/>
          <w:color w:val="000000" w:themeColor="text1"/>
        </w:rPr>
        <w:t xml:space="preserve"> and the </w:t>
      </w:r>
      <w:r w:rsidRPr="006469E8">
        <w:rPr>
          <w:rFonts w:ascii="Proxima Nova" w:hAnsi="Proxima Nova"/>
          <w:i/>
          <w:iCs/>
          <w:color w:val="000000" w:themeColor="text1"/>
        </w:rPr>
        <w:t>United Nations Convention on the Rights of the Child (CRC) ([1991] ATS 4)</w:t>
      </w:r>
      <w:r w:rsidRPr="006469E8">
        <w:rPr>
          <w:rFonts w:ascii="Proxima Nova" w:hAnsi="Proxima Nova"/>
          <w:color w:val="000000" w:themeColor="text1"/>
        </w:rPr>
        <w:t>.</w:t>
      </w:r>
      <w:r w:rsidRPr="006469E8">
        <w:rPr>
          <w:rStyle w:val="FootnoteReference"/>
          <w:rFonts w:ascii="Proxima Nova" w:hAnsi="Proxima Nova"/>
          <w:color w:val="000000" w:themeColor="text1"/>
        </w:rPr>
        <w:footnoteReference w:id="5"/>
      </w:r>
      <w:r w:rsidR="006A644F" w:rsidRPr="006469E8">
        <w:rPr>
          <w:rFonts w:ascii="Proxima Nova" w:hAnsi="Proxima Nova"/>
          <w:color w:val="000000" w:themeColor="text1"/>
        </w:rPr>
        <w:t xml:space="preserve"> </w:t>
      </w:r>
      <w:r w:rsidRPr="006469E8">
        <w:rPr>
          <w:rFonts w:ascii="Proxima Nova" w:hAnsi="Proxima Nova"/>
          <w:color w:val="000000" w:themeColor="text1"/>
        </w:rPr>
        <w:br/>
      </w:r>
    </w:p>
    <w:p w14:paraId="3E5B1DF2" w14:textId="5D3567F1" w:rsidR="00637D89" w:rsidRPr="006469E8" w:rsidRDefault="00637D89" w:rsidP="006469E8">
      <w:pPr>
        <w:spacing w:line="276" w:lineRule="auto"/>
        <w:rPr>
          <w:rFonts w:ascii="Proxima Nova" w:hAnsi="Proxima Nova"/>
          <w:color w:val="000000" w:themeColor="text1"/>
        </w:rPr>
      </w:pPr>
      <w:r w:rsidRPr="00540AC1">
        <w:rPr>
          <w:rFonts w:ascii="Proxima Nova" w:hAnsi="Proxima Nova"/>
          <w:b/>
          <w:bCs/>
          <w:color w:val="813787"/>
          <w:lang w:val="en-GB"/>
        </w:rPr>
        <w:t xml:space="preserve">The Affirmative Consent Model </w:t>
      </w:r>
      <w:r w:rsidRPr="006469E8">
        <w:rPr>
          <w:rFonts w:ascii="Proxima Nova" w:hAnsi="Proxima Nova"/>
          <w:b/>
          <w:bCs/>
          <w:color w:val="7030A0"/>
          <w:lang w:val="en-GB"/>
        </w:rPr>
        <w:br/>
      </w:r>
    </w:p>
    <w:p w14:paraId="4B93F24A" w14:textId="77777777" w:rsidR="00637D89" w:rsidRPr="006469E8" w:rsidRDefault="00637D89" w:rsidP="006469E8">
      <w:pPr>
        <w:spacing w:line="276" w:lineRule="auto"/>
        <w:rPr>
          <w:rFonts w:ascii="Proxima Nova" w:hAnsi="Proxima Nova"/>
          <w:color w:val="000000" w:themeColor="text1"/>
        </w:rPr>
      </w:pPr>
      <w:r w:rsidRPr="006469E8">
        <w:rPr>
          <w:rFonts w:ascii="Proxima Nova" w:hAnsi="Proxima Nova"/>
          <w:color w:val="000000" w:themeColor="text1"/>
          <w:lang w:val="en-GB"/>
        </w:rPr>
        <w:t>Across the government and non-government sector and among advocates for gender equality, there is a significant shift across states towards adopting an affirmative consent model, which means that consent must be actively sought and given, rather than assumed</w:t>
      </w:r>
      <w:r w:rsidRPr="006469E8">
        <w:rPr>
          <w:rFonts w:ascii="Proxima Nova" w:hAnsi="Proxima Nova"/>
          <w:color w:val="000000" w:themeColor="text1"/>
        </w:rPr>
        <w:t xml:space="preserve">. Notably, ‘affirmative consent model’ places the onus on each individual person participating in a sexual act to actively seek consent from the other person (or persons), rather than relying on the other person to provide consent. </w:t>
      </w:r>
    </w:p>
    <w:p w14:paraId="65551B89" w14:textId="3330D594" w:rsidR="00637D89" w:rsidRPr="006469E8" w:rsidRDefault="00637D89" w:rsidP="006469E8">
      <w:pPr>
        <w:spacing w:line="276" w:lineRule="auto"/>
        <w:rPr>
          <w:rFonts w:ascii="Proxima Nova" w:hAnsi="Proxima Nova"/>
          <w:color w:val="000000" w:themeColor="text1"/>
        </w:rPr>
      </w:pPr>
      <w:r w:rsidRPr="006469E8">
        <w:rPr>
          <w:rFonts w:ascii="Proxima Nova" w:hAnsi="Proxima Nova"/>
          <w:color w:val="000000" w:themeColor="text1"/>
        </w:rPr>
        <w:t>Unlike previous definitions and models of consent, examples of consent under this model are more inclusive in the sense that they include non-verbal means of providing consent such as: a physical gesture such as a nod or reciprocating a move such as removing clothing.</w:t>
      </w:r>
      <w:r w:rsidRPr="006469E8">
        <w:rPr>
          <w:rStyle w:val="FootnoteReference"/>
          <w:rFonts w:ascii="Proxima Nova" w:hAnsi="Proxima Nova"/>
          <w:color w:val="000000" w:themeColor="text1"/>
        </w:rPr>
        <w:footnoteReference w:id="6"/>
      </w:r>
      <w:r w:rsidRPr="006469E8">
        <w:rPr>
          <w:rFonts w:ascii="Proxima Nova" w:hAnsi="Proxima Nova"/>
          <w:color w:val="000000" w:themeColor="text1"/>
        </w:rPr>
        <w:t xml:space="preserve"> However, while WWDA supports this move to a more inclusive understanding of what consent encompasses, WWDA is concerned that proposed models have not encompassed full consideration of the diverse experiences and communication needs of women with disability. </w:t>
      </w:r>
    </w:p>
    <w:p w14:paraId="758275CC" w14:textId="77777777" w:rsidR="00637D89" w:rsidRPr="006469E8" w:rsidRDefault="00637D89" w:rsidP="006469E8">
      <w:pPr>
        <w:spacing w:line="276" w:lineRule="auto"/>
        <w:rPr>
          <w:rFonts w:ascii="Proxima Nova" w:hAnsi="Proxima Nova"/>
          <w:color w:val="000000" w:themeColor="text1"/>
        </w:rPr>
      </w:pPr>
    </w:p>
    <w:p w14:paraId="1D0183D1" w14:textId="0B4580F1" w:rsidR="00637D89" w:rsidRPr="006469E8" w:rsidRDefault="00637D89" w:rsidP="006469E8">
      <w:pPr>
        <w:spacing w:line="276" w:lineRule="auto"/>
        <w:rPr>
          <w:rFonts w:ascii="Proxima Nova" w:hAnsi="Proxima Nova"/>
          <w:color w:val="000000" w:themeColor="text1"/>
        </w:rPr>
      </w:pPr>
      <w:r w:rsidRPr="006469E8">
        <w:rPr>
          <w:rFonts w:ascii="Proxima Nova" w:hAnsi="Proxima Nova"/>
          <w:color w:val="000000" w:themeColor="text1"/>
        </w:rPr>
        <w:lastRenderedPageBreak/>
        <w:t xml:space="preserve">For example, while seeking consent in the form of a nod may be appropriate for a person who is deaf, hard of hearing or otherwise non-verbal, it may not be for a person who is paralysed, paraplegic or has a condition like Tourette Syndrome (TS) that causes involuntary movements. Additionally, for people with disability who have sensory processing differences such as people with intellectual and cognitive disabilities and members of the Autistic community, It needs to be recognised that communication can often be misunderstood or interpreted in ways that are not Atypical. For these communities, this means that nodding in a response to question about a sexual activity, may not always indicate a full understanding of the proposition; especially when considering that disabled women and girls have often been taught to abide by directions and requests. In order to include and protect the experiences of these individuals, WWDA urges the implementation of affirmative consent models in legislation must be accompanied efforts to improve judicial and community understandings of disability and the various communication differences among the disabled community. </w:t>
      </w:r>
    </w:p>
    <w:p w14:paraId="617C7418" w14:textId="77777777" w:rsidR="00637D89" w:rsidRPr="006469E8" w:rsidRDefault="00637D89" w:rsidP="006469E8">
      <w:pPr>
        <w:spacing w:line="276" w:lineRule="auto"/>
        <w:rPr>
          <w:rFonts w:ascii="Proxima Nova" w:hAnsi="Proxima Nova"/>
          <w:color w:val="000000" w:themeColor="text1"/>
        </w:rPr>
      </w:pPr>
    </w:p>
    <w:p w14:paraId="052C1CD2" w14:textId="6204B944" w:rsidR="00637D89" w:rsidRPr="006469E8" w:rsidRDefault="00637D89" w:rsidP="006469E8">
      <w:pPr>
        <w:spacing w:line="276" w:lineRule="auto"/>
        <w:rPr>
          <w:rFonts w:ascii="Proxima Nova" w:hAnsi="Proxima Nova"/>
          <w:color w:val="000000" w:themeColor="text1"/>
        </w:rPr>
      </w:pPr>
      <w:r w:rsidRPr="006469E8">
        <w:rPr>
          <w:rFonts w:ascii="Proxima Nova" w:hAnsi="Proxima Nova"/>
          <w:color w:val="000000" w:themeColor="text1"/>
        </w:rPr>
        <w:t>Additionally, it must be recognised that sexual violence against women and girls with disability is more often than not, precursed by power imbalance</w:t>
      </w:r>
      <w:r w:rsidR="006A644F" w:rsidRPr="006469E8">
        <w:rPr>
          <w:rFonts w:ascii="Proxima Nova" w:hAnsi="Proxima Nova"/>
          <w:color w:val="000000" w:themeColor="text1"/>
        </w:rPr>
        <w:t>s</w:t>
      </w:r>
      <w:r w:rsidRPr="006469E8">
        <w:rPr>
          <w:rFonts w:ascii="Proxima Nova" w:hAnsi="Proxima Nova"/>
          <w:color w:val="000000" w:themeColor="text1"/>
        </w:rPr>
        <w:t xml:space="preserve"> between the perpetrator and victim-survivor. For example, compared to their non-disabled peers, women with disability are more likely to rely on their perpetrator for physical, </w:t>
      </w:r>
      <w:proofErr w:type="gramStart"/>
      <w:r w:rsidRPr="006469E8">
        <w:rPr>
          <w:rFonts w:ascii="Proxima Nova" w:hAnsi="Proxima Nova"/>
          <w:color w:val="000000" w:themeColor="text1"/>
        </w:rPr>
        <w:t>emotional</w:t>
      </w:r>
      <w:proofErr w:type="gramEnd"/>
      <w:r w:rsidRPr="006469E8">
        <w:rPr>
          <w:rFonts w:ascii="Proxima Nova" w:hAnsi="Proxima Nova"/>
          <w:color w:val="000000" w:themeColor="text1"/>
        </w:rPr>
        <w:t xml:space="preserve"> or monetary support, and are more likely to be assaulted by a parent, caregiver, support worker or medical professional. </w:t>
      </w:r>
    </w:p>
    <w:p w14:paraId="5FE5AC0F" w14:textId="0906A34E" w:rsidR="0089552D" w:rsidRPr="006469E8" w:rsidRDefault="0089552D" w:rsidP="006469E8">
      <w:pPr>
        <w:spacing w:line="276" w:lineRule="auto"/>
        <w:rPr>
          <w:rFonts w:ascii="Proxima Nova" w:hAnsi="Proxima Nova"/>
          <w:color w:val="000000" w:themeColor="text1"/>
        </w:rPr>
      </w:pPr>
    </w:p>
    <w:p w14:paraId="719D7045" w14:textId="444C8CD6" w:rsidR="00DE668D" w:rsidRPr="006469E8" w:rsidRDefault="0089552D" w:rsidP="006469E8">
      <w:pPr>
        <w:spacing w:line="276" w:lineRule="auto"/>
        <w:rPr>
          <w:rFonts w:ascii="Proxima Nova" w:hAnsi="Proxima Nova"/>
          <w:color w:val="000000" w:themeColor="text1"/>
        </w:rPr>
      </w:pPr>
      <w:proofErr w:type="gramStart"/>
      <w:r w:rsidRPr="006469E8">
        <w:rPr>
          <w:rFonts w:ascii="Proxima Nova" w:hAnsi="Proxima Nova"/>
          <w:color w:val="000000" w:themeColor="text1"/>
        </w:rPr>
        <w:t>Considering these experiences, it</w:t>
      </w:r>
      <w:proofErr w:type="gramEnd"/>
      <w:r w:rsidRPr="006469E8">
        <w:rPr>
          <w:rFonts w:ascii="Proxima Nova" w:hAnsi="Proxima Nova"/>
          <w:color w:val="000000" w:themeColor="text1"/>
        </w:rPr>
        <w:t xml:space="preserve"> is encouraging that most proposed models of Affirmative Consent recognise power imbalances. For example, in the Affirmative Consent model adopted by the Victorian parliament in 2022, it is specified that the agreement must be ‘free and voluntary,’ meaning free of any form of coercion, force, harm, fear, abuse of authority or misleading information. However, </w:t>
      </w:r>
      <w:r w:rsidR="00DE668D" w:rsidRPr="006469E8">
        <w:rPr>
          <w:rFonts w:ascii="Proxima Nova" w:hAnsi="Proxima Nova"/>
          <w:color w:val="000000" w:themeColor="text1"/>
        </w:rPr>
        <w:t xml:space="preserve">it is important </w:t>
      </w:r>
      <w:r w:rsidRPr="006469E8">
        <w:rPr>
          <w:rFonts w:ascii="Proxima Nova" w:hAnsi="Proxima Nova"/>
          <w:color w:val="000000" w:themeColor="text1"/>
        </w:rPr>
        <w:t xml:space="preserve">the implementation of these </w:t>
      </w:r>
      <w:r w:rsidR="00DE668D" w:rsidRPr="006469E8">
        <w:rPr>
          <w:rFonts w:ascii="Proxima Nova" w:hAnsi="Proxima Nova"/>
          <w:color w:val="000000" w:themeColor="text1"/>
        </w:rPr>
        <w:t xml:space="preserve">principles </w:t>
      </w:r>
      <w:proofErr w:type="gramStart"/>
      <w:r w:rsidR="00DE668D" w:rsidRPr="006469E8">
        <w:rPr>
          <w:rFonts w:ascii="Proxima Nova" w:hAnsi="Proxima Nova"/>
          <w:color w:val="000000" w:themeColor="text1"/>
        </w:rPr>
        <w:t>are</w:t>
      </w:r>
      <w:proofErr w:type="gramEnd"/>
      <w:r w:rsidR="00DE668D" w:rsidRPr="006469E8">
        <w:rPr>
          <w:rFonts w:ascii="Proxima Nova" w:hAnsi="Proxima Nova"/>
          <w:color w:val="000000" w:themeColor="text1"/>
        </w:rPr>
        <w:t xml:space="preserve"> also nuanced with methods to ensure that the </w:t>
      </w:r>
      <w:r w:rsidR="00DE668D" w:rsidRPr="006469E8">
        <w:rPr>
          <w:rFonts w:ascii="Proxima Nova" w:hAnsi="Proxima Nova"/>
          <w:color w:val="000000" w:themeColor="text1"/>
        </w:rPr>
        <w:lastRenderedPageBreak/>
        <w:t xml:space="preserve">agency and autonomy and abilities of women with disability are recognised and upheld. </w:t>
      </w:r>
    </w:p>
    <w:p w14:paraId="265B4EE0" w14:textId="17ED9B74" w:rsidR="00DE668D" w:rsidRPr="00540AC1" w:rsidRDefault="00DE668D" w:rsidP="006469E8">
      <w:pPr>
        <w:spacing w:line="276" w:lineRule="auto"/>
        <w:rPr>
          <w:rFonts w:ascii="Proxima Nova" w:hAnsi="Proxima Nova"/>
          <w:color w:val="813787"/>
        </w:rPr>
      </w:pPr>
    </w:p>
    <w:p w14:paraId="35D1EA93" w14:textId="553CE969" w:rsidR="00DE668D" w:rsidRPr="00540AC1" w:rsidRDefault="00DE668D" w:rsidP="006469E8">
      <w:pPr>
        <w:spacing w:line="276" w:lineRule="auto"/>
        <w:rPr>
          <w:rFonts w:ascii="Proxima Nova" w:hAnsi="Proxima Nova"/>
          <w:b/>
          <w:bCs/>
          <w:color w:val="823789"/>
          <w:lang w:val="en-GB"/>
        </w:rPr>
      </w:pPr>
      <w:r w:rsidRPr="00540AC1">
        <w:rPr>
          <w:rFonts w:ascii="Proxima Nova" w:hAnsi="Proxima Nova"/>
          <w:b/>
          <w:bCs/>
          <w:color w:val="823789"/>
          <w:lang w:val="en-GB"/>
        </w:rPr>
        <w:t xml:space="preserve">Women with disability and sexual agency </w:t>
      </w:r>
    </w:p>
    <w:p w14:paraId="5F6A8013" w14:textId="77777777" w:rsidR="00DE668D" w:rsidRPr="006469E8" w:rsidRDefault="00DE668D" w:rsidP="006469E8">
      <w:pPr>
        <w:spacing w:line="276" w:lineRule="auto"/>
        <w:rPr>
          <w:rFonts w:ascii="Proxima Nova" w:hAnsi="Proxima Nova"/>
          <w:color w:val="000000" w:themeColor="text1"/>
        </w:rPr>
      </w:pPr>
    </w:p>
    <w:p w14:paraId="72287C51" w14:textId="1E751125" w:rsidR="00DE668D" w:rsidRPr="006469E8" w:rsidRDefault="00DE668D" w:rsidP="006469E8">
      <w:pPr>
        <w:spacing w:line="276" w:lineRule="auto"/>
        <w:rPr>
          <w:rFonts w:ascii="Proxima Nova" w:hAnsi="Proxima Nova"/>
          <w:color w:val="000000" w:themeColor="text1"/>
        </w:rPr>
      </w:pPr>
      <w:r w:rsidRPr="006469E8">
        <w:rPr>
          <w:rFonts w:ascii="Proxima Nova" w:hAnsi="Proxima Nova"/>
          <w:color w:val="000000" w:themeColor="text1"/>
        </w:rPr>
        <w:t>In too many cases</w:t>
      </w:r>
      <w:r w:rsidR="009A10BC" w:rsidRPr="006469E8">
        <w:rPr>
          <w:rFonts w:ascii="Proxima Nova" w:hAnsi="Proxima Nova"/>
          <w:color w:val="000000" w:themeColor="text1"/>
        </w:rPr>
        <w:t xml:space="preserve">, it is assumed that women with disability do not have the capacity to make their own decisions around sex, </w:t>
      </w:r>
      <w:r w:rsidR="00211395" w:rsidRPr="006469E8">
        <w:rPr>
          <w:rFonts w:ascii="Proxima Nova" w:hAnsi="Proxima Nova"/>
          <w:color w:val="000000" w:themeColor="text1"/>
        </w:rPr>
        <w:t>relationships,</w:t>
      </w:r>
      <w:r w:rsidR="009A10BC" w:rsidRPr="006469E8">
        <w:rPr>
          <w:rFonts w:ascii="Proxima Nova" w:hAnsi="Proxima Nova"/>
          <w:color w:val="000000" w:themeColor="text1"/>
        </w:rPr>
        <w:t xml:space="preserve"> and their bodies. </w:t>
      </w:r>
      <w:r w:rsidR="00211395" w:rsidRPr="006469E8">
        <w:rPr>
          <w:rFonts w:ascii="Proxima Nova" w:hAnsi="Proxima Nova"/>
          <w:color w:val="000000" w:themeColor="text1"/>
        </w:rPr>
        <w:t>While i</w:t>
      </w:r>
      <w:r w:rsidR="00F450FF" w:rsidRPr="006469E8">
        <w:rPr>
          <w:rFonts w:ascii="Proxima Nova" w:hAnsi="Proxima Nova"/>
          <w:color w:val="000000" w:themeColor="text1"/>
        </w:rPr>
        <w:t>t</w:t>
      </w:r>
      <w:r w:rsidR="00211395" w:rsidRPr="006469E8">
        <w:rPr>
          <w:rFonts w:ascii="Proxima Nova" w:hAnsi="Proxima Nova"/>
          <w:color w:val="000000" w:themeColor="text1"/>
        </w:rPr>
        <w:t xml:space="preserve"> is recognised in international human rights instruments that </w:t>
      </w:r>
      <w:r w:rsidR="00F450FF" w:rsidRPr="006469E8">
        <w:rPr>
          <w:rFonts w:ascii="Proxima Nova" w:hAnsi="Proxima Nova"/>
          <w:color w:val="000000" w:themeColor="text1"/>
        </w:rPr>
        <w:t>s</w:t>
      </w:r>
      <w:r w:rsidR="00211395" w:rsidRPr="006469E8">
        <w:rPr>
          <w:rFonts w:ascii="Proxima Nova" w:hAnsi="Proxima Nova"/>
          <w:color w:val="000000" w:themeColor="text1"/>
        </w:rPr>
        <w:t>exual and reproductive rights are fundamental human rights, which include the rights of women to make free and informed decisions about their body, sexuality, relationships, and if, when and with whom to partner, marry and have children;</w:t>
      </w:r>
      <w:r w:rsidR="00211395" w:rsidRPr="006469E8">
        <w:rPr>
          <w:rStyle w:val="FootnoteReference"/>
          <w:rFonts w:ascii="Proxima Nova" w:hAnsi="Proxima Nova"/>
          <w:color w:val="000000" w:themeColor="text1"/>
        </w:rPr>
        <w:footnoteReference w:id="7"/>
      </w:r>
      <w:r w:rsidR="00211395" w:rsidRPr="006469E8">
        <w:rPr>
          <w:rFonts w:ascii="Proxima Nova" w:hAnsi="Proxima Nova"/>
          <w:color w:val="000000" w:themeColor="text1"/>
        </w:rPr>
        <w:t xml:space="preserve"> women with disability are often denied these rights because of widespread ableist and discriminatory attitudes that they do that have the capacity to make decisions that are in their ‘best interests.’ In the context of sexual consent, it is often assumed that women with disability, especially women with intellectual and cognitive disability, do not have the ability to understand and therefore, consent to sex or sexual interactions. </w:t>
      </w:r>
    </w:p>
    <w:p w14:paraId="19934BFC" w14:textId="5B377BC6" w:rsidR="00DE668D" w:rsidRPr="006469E8" w:rsidRDefault="00211395" w:rsidP="006469E8">
      <w:pPr>
        <w:spacing w:line="276" w:lineRule="auto"/>
        <w:rPr>
          <w:rFonts w:ascii="Proxima Nova" w:hAnsi="Proxima Nova"/>
          <w:color w:val="000000" w:themeColor="text1"/>
        </w:rPr>
      </w:pPr>
      <w:r w:rsidRPr="006469E8">
        <w:rPr>
          <w:rFonts w:ascii="Proxima Nova" w:hAnsi="Proxima Nova"/>
          <w:color w:val="000000" w:themeColor="text1"/>
        </w:rPr>
        <w:br/>
        <w:t xml:space="preserve">In reality, </w:t>
      </w:r>
      <w:proofErr w:type="gramStart"/>
      <w:r w:rsidRPr="006469E8">
        <w:rPr>
          <w:rFonts w:ascii="Proxima Nova" w:hAnsi="Proxima Nova"/>
        </w:rPr>
        <w:t>women</w:t>
      </w:r>
      <w:proofErr w:type="gramEnd"/>
      <w:r w:rsidRPr="006469E8">
        <w:rPr>
          <w:rFonts w:ascii="Proxima Nova" w:hAnsi="Proxima Nova"/>
        </w:rPr>
        <w:t xml:space="preserve"> and girls with disability express desires for and have capacity to have romantic, sexual and intimate relationships, bear children and be caring parents, but are often denied </w:t>
      </w:r>
      <w:r w:rsidRPr="006469E8">
        <w:rPr>
          <w:rFonts w:ascii="Proxima Nova" w:hAnsi="Proxima Nova"/>
          <w:color w:val="000000" w:themeColor="text1"/>
        </w:rPr>
        <w:t xml:space="preserve">the opportunity by parents, caregivers or guardians. While, as one of the most likely groups to experience sexual violence, it essential that consent legislation includes means to protect women with disability, it is therefore essential that that sexual violence legislation does not also further prevent women with disability from realising their sexual and reproductive autonomy. </w:t>
      </w:r>
      <w:r w:rsidRPr="006469E8">
        <w:rPr>
          <w:rFonts w:ascii="Proxima Nova" w:hAnsi="Proxima Nova"/>
          <w:color w:val="000000" w:themeColor="text1"/>
        </w:rPr>
        <w:br/>
      </w:r>
      <w:r w:rsidRPr="006469E8">
        <w:rPr>
          <w:rFonts w:ascii="Proxima Nova" w:hAnsi="Proxima Nova"/>
          <w:color w:val="000000" w:themeColor="text1"/>
        </w:rPr>
        <w:br/>
        <w:t>I</w:t>
      </w:r>
      <w:r w:rsidR="006A644F" w:rsidRPr="006469E8">
        <w:rPr>
          <w:rFonts w:ascii="Proxima Nova" w:hAnsi="Proxima Nova"/>
          <w:color w:val="000000" w:themeColor="text1"/>
        </w:rPr>
        <w:t>n</w:t>
      </w:r>
      <w:r w:rsidRPr="006469E8">
        <w:rPr>
          <w:rFonts w:ascii="Proxima Nova" w:hAnsi="Proxima Nova"/>
          <w:color w:val="000000" w:themeColor="text1"/>
        </w:rPr>
        <w:t xml:space="preserve"> order to ensure that consent legislation does not result in these unintended affects, WWDA recommends that Federal, state and territory governments conduct comprehensive and targeted consultations on any proposed reforms with women with disability and their representative organisations, as well as key sector </w:t>
      </w:r>
      <w:r w:rsidRPr="006469E8">
        <w:rPr>
          <w:rFonts w:ascii="Proxima Nova" w:hAnsi="Proxima Nova"/>
          <w:color w:val="000000" w:themeColor="text1"/>
        </w:rPr>
        <w:lastRenderedPageBreak/>
        <w:t xml:space="preserve">stakeholders, such as academics with expertise on guardianship law and substitute decision-making. </w:t>
      </w:r>
    </w:p>
    <w:p w14:paraId="44BB1734" w14:textId="77777777" w:rsidR="00DE668D" w:rsidRPr="006469E8" w:rsidRDefault="00DE668D" w:rsidP="006469E8">
      <w:pPr>
        <w:autoSpaceDE w:val="0"/>
        <w:autoSpaceDN w:val="0"/>
        <w:adjustRightInd w:val="0"/>
        <w:spacing w:line="276" w:lineRule="auto"/>
        <w:rPr>
          <w:rFonts w:ascii="Proxima Nova" w:hAnsi="Proxima Nova" w:cs="AppleSystemUIFont"/>
          <w:lang w:val="en-GB"/>
        </w:rPr>
      </w:pPr>
    </w:p>
    <w:p w14:paraId="0B82B60D" w14:textId="4C87A0AB" w:rsidR="00DE668D" w:rsidRPr="00540AC1" w:rsidRDefault="00211395" w:rsidP="006469E8">
      <w:pPr>
        <w:spacing w:line="276" w:lineRule="auto"/>
        <w:rPr>
          <w:rFonts w:ascii="Proxima Nova" w:hAnsi="Proxima Nova"/>
          <w:b/>
          <w:bCs/>
          <w:color w:val="823789"/>
          <w:lang w:val="en-GB"/>
        </w:rPr>
      </w:pPr>
      <w:r w:rsidRPr="00540AC1">
        <w:rPr>
          <w:rFonts w:ascii="Proxima Nova" w:hAnsi="Proxima Nova"/>
          <w:b/>
          <w:bCs/>
          <w:color w:val="823789"/>
          <w:lang w:val="en-GB"/>
        </w:rPr>
        <w:t>Women with disability and the</w:t>
      </w:r>
      <w:r w:rsidR="00DE668D" w:rsidRPr="00540AC1">
        <w:rPr>
          <w:rFonts w:ascii="Proxima Nova" w:hAnsi="Proxima Nova"/>
          <w:b/>
          <w:bCs/>
          <w:color w:val="823789"/>
          <w:lang w:val="en-GB"/>
        </w:rPr>
        <w:t xml:space="preserve"> justice system </w:t>
      </w:r>
    </w:p>
    <w:p w14:paraId="3C10FF5F" w14:textId="7321B347" w:rsidR="00DE668D" w:rsidRPr="006469E8" w:rsidRDefault="00DE668D" w:rsidP="006469E8">
      <w:pPr>
        <w:autoSpaceDE w:val="0"/>
        <w:autoSpaceDN w:val="0"/>
        <w:adjustRightInd w:val="0"/>
        <w:spacing w:line="276" w:lineRule="auto"/>
        <w:rPr>
          <w:rFonts w:ascii="Proxima Nova" w:hAnsi="Proxima Nova" w:cs="AppleSystemUIFont"/>
          <w:lang w:val="en-GB"/>
        </w:rPr>
      </w:pPr>
    </w:p>
    <w:p w14:paraId="665723E0" w14:textId="4ABDD197" w:rsidR="00DE668D" w:rsidRPr="006469E8" w:rsidRDefault="00211395" w:rsidP="006469E8">
      <w:pPr>
        <w:autoSpaceDE w:val="0"/>
        <w:autoSpaceDN w:val="0"/>
        <w:adjustRightInd w:val="0"/>
        <w:spacing w:line="276" w:lineRule="auto"/>
        <w:rPr>
          <w:rFonts w:ascii="Proxima Nova" w:hAnsi="Proxima Nova" w:cs="AppleSystemUIFont"/>
          <w:lang w:val="en-GB"/>
        </w:rPr>
      </w:pPr>
      <w:r w:rsidRPr="006469E8">
        <w:rPr>
          <w:rFonts w:ascii="Proxima Nova" w:hAnsi="Proxima Nova" w:cs="AppleSystemUIFont"/>
          <w:lang w:val="en-GB"/>
        </w:rPr>
        <w:t xml:space="preserve">When proposing reforms to Consent legislation, it is also important that provisions are </w:t>
      </w:r>
      <w:proofErr w:type="gramStart"/>
      <w:r w:rsidR="00D97E15" w:rsidRPr="006469E8">
        <w:rPr>
          <w:rFonts w:ascii="Proxima Nova" w:hAnsi="Proxima Nova" w:cs="AppleSystemUIFont"/>
          <w:lang w:val="en-GB"/>
        </w:rPr>
        <w:t>included</w:t>
      </w:r>
      <w:proofErr w:type="gramEnd"/>
      <w:r w:rsidR="00D97E15" w:rsidRPr="006469E8">
        <w:rPr>
          <w:rFonts w:ascii="Proxima Nova" w:hAnsi="Proxima Nova" w:cs="AppleSystemUIFont"/>
          <w:lang w:val="en-GB"/>
        </w:rPr>
        <w:t xml:space="preserve"> or the implementation of other provisions are </w:t>
      </w:r>
      <w:r w:rsidRPr="006469E8">
        <w:rPr>
          <w:rFonts w:ascii="Proxima Nova" w:hAnsi="Proxima Nova" w:cs="AppleSystemUIFont"/>
          <w:lang w:val="en-GB"/>
        </w:rPr>
        <w:t>considered to address the ableism inherent in the court system. In Australia, it is well established that the criminal justice system is inaccessible to and discriminatory against women and girls with disability. When it comes to reporting sexual violence and assault, processes are often inaccessible, police or frontline domestic violence workers are rarely trained in how to support and communicate with women with disability and often doubt the truth of the claims, particularly when they come from women with</w:t>
      </w:r>
      <w:r w:rsidRPr="006469E8">
        <w:rPr>
          <w:rFonts w:ascii="Proxima Nova" w:hAnsi="Proxima Nova" w:cs="AppleSystemUIFont"/>
        </w:rPr>
        <w:t xml:space="preserve"> intellectual or psychosocial impairments</w:t>
      </w:r>
      <w:r w:rsidRPr="006469E8">
        <w:rPr>
          <w:rFonts w:ascii="Proxima Nova" w:hAnsi="Proxima Nova" w:cs="AppleSystemUIFont"/>
          <w:lang w:val="en-GB"/>
        </w:rPr>
        <w:t>.</w:t>
      </w:r>
      <w:r w:rsidRPr="006469E8">
        <w:rPr>
          <w:rStyle w:val="FootnoteReference"/>
          <w:rFonts w:ascii="Proxima Nova" w:hAnsi="Proxima Nova" w:cs="AppleSystemUIFont"/>
          <w:lang w:val="en-GB"/>
        </w:rPr>
        <w:footnoteReference w:id="8"/>
      </w:r>
      <w:r w:rsidRPr="006469E8">
        <w:rPr>
          <w:rFonts w:ascii="Proxima Nova" w:hAnsi="Proxima Nova" w:cs="AppleSystemUIFont"/>
          <w:lang w:val="en-GB"/>
        </w:rPr>
        <w:t xml:space="preserve"> When women with disability do go through the process to report sexual assault, they face further barriers in the court. Due to discriminatory and ableist attitudes, judicial personnel often do not consider women with disability as having the capacity to testify and are again, not believed or otherwise, have their voice side-lined in favour of that of a guardian or support </w:t>
      </w:r>
      <w:r w:rsidR="00D97E15" w:rsidRPr="006469E8">
        <w:rPr>
          <w:rFonts w:ascii="Proxima Nova" w:hAnsi="Proxima Nova" w:cs="AppleSystemUIFont"/>
          <w:lang w:val="en-GB"/>
        </w:rPr>
        <w:t>person,</w:t>
      </w:r>
      <w:r w:rsidRPr="006469E8">
        <w:rPr>
          <w:rFonts w:ascii="Proxima Nova" w:hAnsi="Proxima Nova" w:cs="AppleSystemUIFont"/>
          <w:lang w:val="en-GB"/>
        </w:rPr>
        <w:t xml:space="preserve"> which is particularly problematic when that same person is their perpetrator. </w:t>
      </w:r>
    </w:p>
    <w:p w14:paraId="768026FA" w14:textId="2D642F12" w:rsidR="00D97E15" w:rsidRPr="006469E8" w:rsidRDefault="00D97E15" w:rsidP="006469E8">
      <w:pPr>
        <w:autoSpaceDE w:val="0"/>
        <w:autoSpaceDN w:val="0"/>
        <w:adjustRightInd w:val="0"/>
        <w:spacing w:line="276" w:lineRule="auto"/>
        <w:rPr>
          <w:rFonts w:ascii="Proxima Nova" w:hAnsi="Proxima Nova" w:cs="AppleSystemUIFont"/>
          <w:lang w:val="en-GB"/>
        </w:rPr>
      </w:pPr>
    </w:p>
    <w:p w14:paraId="74E5CFA8" w14:textId="5D89EF77" w:rsidR="00D97E15" w:rsidRPr="006469E8" w:rsidRDefault="00D97E15" w:rsidP="006469E8">
      <w:pPr>
        <w:autoSpaceDE w:val="0"/>
        <w:autoSpaceDN w:val="0"/>
        <w:adjustRightInd w:val="0"/>
        <w:spacing w:line="276" w:lineRule="auto"/>
        <w:rPr>
          <w:rFonts w:ascii="Proxima Nova" w:hAnsi="Proxima Nova" w:cs="AppleSystemUIFont"/>
          <w:lang w:val="en-GB"/>
        </w:rPr>
      </w:pPr>
      <w:r w:rsidRPr="006469E8">
        <w:rPr>
          <w:rFonts w:ascii="Proxima Nova" w:hAnsi="Proxima Nova" w:cs="AppleSystemUIFont"/>
          <w:lang w:val="en-GB"/>
        </w:rPr>
        <w:t>The inaccessibility of court processes is a further barrier for women with disability. For example, the Illawarra Women’s Health Service in its report on violence against women with intellectual disability noted in relation to its interviews with women with intellectual disability:</w:t>
      </w:r>
    </w:p>
    <w:p w14:paraId="38D83715" w14:textId="77777777" w:rsidR="00D97E15" w:rsidRPr="006469E8" w:rsidRDefault="00D97E15" w:rsidP="006469E8">
      <w:pPr>
        <w:autoSpaceDE w:val="0"/>
        <w:autoSpaceDN w:val="0"/>
        <w:adjustRightInd w:val="0"/>
        <w:spacing w:line="276" w:lineRule="auto"/>
        <w:rPr>
          <w:rFonts w:ascii="Proxima Nova" w:hAnsi="Proxima Nova" w:cs="AppleSystemUIFont"/>
          <w:lang w:val="en-GB"/>
        </w:rPr>
      </w:pPr>
    </w:p>
    <w:p w14:paraId="776E8EE4" w14:textId="05E17DEB" w:rsidR="00D97E15" w:rsidRPr="002E2ECD" w:rsidRDefault="00D97E15" w:rsidP="006469E8">
      <w:pPr>
        <w:autoSpaceDE w:val="0"/>
        <w:autoSpaceDN w:val="0"/>
        <w:adjustRightInd w:val="0"/>
        <w:spacing w:line="276" w:lineRule="auto"/>
        <w:ind w:left="567" w:right="515"/>
        <w:rPr>
          <w:rFonts w:ascii="Proxima Nova" w:hAnsi="Proxima Nova" w:cs="AppleSystemUIFont"/>
          <w:i/>
          <w:iCs/>
          <w:sz w:val="22"/>
          <w:szCs w:val="22"/>
          <w:lang w:val="en-GB"/>
        </w:rPr>
      </w:pPr>
      <w:r w:rsidRPr="002E2ECD">
        <w:rPr>
          <w:rFonts w:ascii="Proxima Nova" w:hAnsi="Proxima Nova" w:cs="AppleSystemUIFont"/>
          <w:i/>
          <w:iCs/>
          <w:sz w:val="22"/>
          <w:szCs w:val="22"/>
          <w:lang w:val="en-GB"/>
        </w:rPr>
        <w:t xml:space="preserve">Some women attend court without support and advocacy and don’t understand the proceedings or the language or terms used. They are asked to read a lot of paperwork and agree to decisions that they often don’t understand or have time to think about. This leads to poor decisions being made which can affect them </w:t>
      </w:r>
      <w:r w:rsidRPr="002E2ECD">
        <w:rPr>
          <w:rFonts w:ascii="Proxima Nova" w:hAnsi="Proxima Nova" w:cs="AppleSystemUIFont"/>
          <w:i/>
          <w:iCs/>
          <w:sz w:val="22"/>
          <w:szCs w:val="22"/>
          <w:lang w:val="en-GB"/>
        </w:rPr>
        <w:lastRenderedPageBreak/>
        <w:t>and their families for years. They cannot be expected to navigate this process by themselves.</w:t>
      </w:r>
      <w:r w:rsidRPr="002E2ECD">
        <w:rPr>
          <w:rStyle w:val="FootnoteReference"/>
          <w:rFonts w:ascii="Proxima Nova" w:hAnsi="Proxima Nova" w:cs="AppleSystemUIFont"/>
          <w:i/>
          <w:iCs/>
          <w:sz w:val="22"/>
          <w:szCs w:val="22"/>
          <w:lang w:val="en-GB"/>
        </w:rPr>
        <w:footnoteReference w:id="9"/>
      </w:r>
    </w:p>
    <w:p w14:paraId="478DD1C1" w14:textId="26B4A731" w:rsidR="00D97E15" w:rsidRPr="006469E8" w:rsidRDefault="00D97E15" w:rsidP="006469E8">
      <w:pPr>
        <w:autoSpaceDE w:val="0"/>
        <w:autoSpaceDN w:val="0"/>
        <w:adjustRightInd w:val="0"/>
        <w:spacing w:line="276" w:lineRule="auto"/>
        <w:rPr>
          <w:rFonts w:ascii="Proxima Nova" w:hAnsi="Proxima Nova" w:cs="AppleSystemUIFont"/>
          <w:i/>
          <w:iCs/>
          <w:lang w:val="en-GB"/>
        </w:rPr>
      </w:pPr>
    </w:p>
    <w:p w14:paraId="4A0B7C86" w14:textId="11889F90" w:rsidR="00D97E15" w:rsidRPr="006469E8" w:rsidRDefault="00D97E15" w:rsidP="006469E8">
      <w:pPr>
        <w:autoSpaceDE w:val="0"/>
        <w:autoSpaceDN w:val="0"/>
        <w:adjustRightInd w:val="0"/>
        <w:spacing w:line="276" w:lineRule="auto"/>
        <w:rPr>
          <w:rFonts w:ascii="Proxima Nova" w:hAnsi="Proxima Nova" w:cs="AppleSystemUIFont"/>
          <w:lang w:val="en-GB"/>
        </w:rPr>
      </w:pPr>
      <w:r w:rsidRPr="006469E8">
        <w:rPr>
          <w:rFonts w:ascii="Proxima Nova" w:hAnsi="Proxima Nova" w:cs="AppleSystemUIFont"/>
          <w:lang w:val="en-GB"/>
        </w:rPr>
        <w:t xml:space="preserve">For First Nations </w:t>
      </w:r>
      <w:r w:rsidR="006A644F" w:rsidRPr="006469E8">
        <w:rPr>
          <w:rFonts w:ascii="Proxima Nova" w:hAnsi="Proxima Nova" w:cs="AppleSystemUIFont"/>
          <w:lang w:val="en-GB"/>
        </w:rPr>
        <w:t xml:space="preserve">and culturally and linguistically diverse (CaLD) </w:t>
      </w:r>
      <w:r w:rsidRPr="006469E8">
        <w:rPr>
          <w:rFonts w:ascii="Proxima Nova" w:hAnsi="Proxima Nova" w:cs="AppleSystemUIFont"/>
          <w:lang w:val="en-GB"/>
        </w:rPr>
        <w:t xml:space="preserve">women with disability, discrimination in the court system is further entrenched by the historical and ongoing racism of the judicial system. </w:t>
      </w:r>
      <w:r w:rsidR="006A644F" w:rsidRPr="006469E8">
        <w:rPr>
          <w:rFonts w:ascii="Proxima Nova" w:hAnsi="Proxima Nova" w:cs="AppleSystemUIFont"/>
          <w:lang w:val="en-GB"/>
        </w:rPr>
        <w:t xml:space="preserve">While it is well recognised that women with intersectional identities, including First Nations and culturally and linguistically diverse (CaLD) women are at higher risk of experiencing all forms of violence, courts are rarely equipped with the infrastructure in place to provide culturally appropriate support such as language interpreters. </w:t>
      </w:r>
    </w:p>
    <w:p w14:paraId="033F7544" w14:textId="77777777" w:rsidR="00D97E15" w:rsidRPr="006469E8" w:rsidRDefault="00D97E15" w:rsidP="006469E8">
      <w:pPr>
        <w:autoSpaceDE w:val="0"/>
        <w:autoSpaceDN w:val="0"/>
        <w:adjustRightInd w:val="0"/>
        <w:spacing w:line="276" w:lineRule="auto"/>
        <w:rPr>
          <w:rFonts w:ascii="Proxima Nova" w:hAnsi="Proxima Nova" w:cs="AppleSystemUIFont"/>
          <w:lang w:val="en-GB"/>
        </w:rPr>
      </w:pPr>
    </w:p>
    <w:p w14:paraId="6464AC83" w14:textId="5506C56F" w:rsidR="00DE668D" w:rsidRPr="00540AC1" w:rsidRDefault="00D97E15" w:rsidP="006469E8">
      <w:pPr>
        <w:autoSpaceDE w:val="0"/>
        <w:autoSpaceDN w:val="0"/>
        <w:adjustRightInd w:val="0"/>
        <w:spacing w:line="276" w:lineRule="auto"/>
        <w:rPr>
          <w:rFonts w:ascii="Proxima Nova" w:hAnsi="Proxima Nova" w:cs="AppleSystemUIFont"/>
          <w:color w:val="823789"/>
          <w:lang w:val="en-GB"/>
        </w:rPr>
      </w:pPr>
      <w:r w:rsidRPr="006469E8">
        <w:rPr>
          <w:rFonts w:ascii="Proxima Nova" w:hAnsi="Proxima Nova" w:cs="AppleSystemUIFont"/>
          <w:lang w:val="en-GB"/>
        </w:rPr>
        <w:t>Additionally, WWDA has received anecdotal evidence from many women with disability and sector professionals that compensation schemes for sexual violence are notoriously hard to access. The first and main reason for this is that the processes are usually riddled with hard-to-understand legal jargon and rarely, if ever, available in accessible formats such as Plain English or Easy Read. Secondly, victim support and compensation schemes are often not available to women with disability because they only apply to cases that would constitute violence under criminal law (even if not established by a court),</w:t>
      </w:r>
      <w:r w:rsidRPr="006469E8">
        <w:rPr>
          <w:rStyle w:val="FootnoteReference"/>
          <w:rFonts w:ascii="Proxima Nova" w:hAnsi="Proxima Nova" w:cs="AppleSystemUIFont"/>
          <w:lang w:val="en-GB"/>
        </w:rPr>
        <w:footnoteReference w:id="10"/>
      </w:r>
      <w:r w:rsidRPr="006469E8">
        <w:rPr>
          <w:rFonts w:ascii="Proxima Nova" w:hAnsi="Proxima Nova" w:cs="AppleSystemUIFont"/>
          <w:lang w:val="en-GB"/>
        </w:rPr>
        <w:t xml:space="preserve"> which often do not account for violence perpetrated by anyone other than an intimate partner. </w:t>
      </w:r>
      <w:r w:rsidRPr="006469E8">
        <w:rPr>
          <w:rFonts w:ascii="Proxima Nova" w:hAnsi="Proxima Nova" w:cs="AppleSystemUIFont"/>
          <w:lang w:val="en-GB"/>
        </w:rPr>
        <w:br/>
      </w:r>
    </w:p>
    <w:p w14:paraId="4723CFBB" w14:textId="22A35B18" w:rsidR="00DE668D" w:rsidRPr="00540AC1" w:rsidRDefault="00EA05FF" w:rsidP="006469E8">
      <w:pPr>
        <w:autoSpaceDE w:val="0"/>
        <w:autoSpaceDN w:val="0"/>
        <w:adjustRightInd w:val="0"/>
        <w:spacing w:line="276" w:lineRule="auto"/>
        <w:rPr>
          <w:rFonts w:ascii="Proxima Nova" w:hAnsi="Proxima Nova" w:cs="AppleSystemUIFont"/>
          <w:b/>
          <w:bCs/>
          <w:color w:val="823789"/>
          <w:lang w:val="en-GB"/>
        </w:rPr>
      </w:pPr>
      <w:r w:rsidRPr="00540AC1">
        <w:rPr>
          <w:rFonts w:ascii="Proxima Nova" w:hAnsi="Proxima Nova" w:cs="AppleSystemUIFont"/>
          <w:b/>
          <w:bCs/>
          <w:color w:val="823789"/>
          <w:lang w:val="en-GB"/>
        </w:rPr>
        <w:t>Comprehensive Sexuality</w:t>
      </w:r>
      <w:r w:rsidR="00DE668D" w:rsidRPr="00540AC1">
        <w:rPr>
          <w:rFonts w:ascii="Proxima Nova" w:hAnsi="Proxima Nova" w:cs="AppleSystemUIFont"/>
          <w:b/>
          <w:bCs/>
          <w:color w:val="823789"/>
          <w:lang w:val="en-GB"/>
        </w:rPr>
        <w:t xml:space="preserve"> </w:t>
      </w:r>
      <w:r w:rsidRPr="00540AC1">
        <w:rPr>
          <w:rFonts w:ascii="Proxima Nova" w:hAnsi="Proxima Nova" w:cs="AppleSystemUIFont"/>
          <w:b/>
          <w:bCs/>
          <w:color w:val="823789"/>
          <w:lang w:val="en-GB"/>
        </w:rPr>
        <w:t>E</w:t>
      </w:r>
      <w:r w:rsidR="00DE668D" w:rsidRPr="00540AC1">
        <w:rPr>
          <w:rFonts w:ascii="Proxima Nova" w:hAnsi="Proxima Nova" w:cs="AppleSystemUIFont"/>
          <w:b/>
          <w:bCs/>
          <w:color w:val="823789"/>
          <w:lang w:val="en-GB"/>
        </w:rPr>
        <w:t xml:space="preserve">ducation </w:t>
      </w:r>
    </w:p>
    <w:p w14:paraId="357B4064" w14:textId="31D6AFB8" w:rsidR="00D40CFC" w:rsidRPr="006469E8" w:rsidRDefault="00D40CFC" w:rsidP="006469E8">
      <w:pPr>
        <w:autoSpaceDE w:val="0"/>
        <w:autoSpaceDN w:val="0"/>
        <w:adjustRightInd w:val="0"/>
        <w:spacing w:line="276" w:lineRule="auto"/>
        <w:rPr>
          <w:rFonts w:ascii="Proxima Nova" w:hAnsi="Proxima Nova" w:cs="AppleSystemUIFont"/>
          <w:b/>
          <w:bCs/>
          <w:color w:val="7B04A0"/>
          <w:lang w:val="en-GB"/>
        </w:rPr>
      </w:pPr>
    </w:p>
    <w:p w14:paraId="141FE8D5" w14:textId="5FC59FE8" w:rsidR="003C2CB0" w:rsidRPr="006469E8" w:rsidRDefault="003C2CB0" w:rsidP="006469E8">
      <w:pPr>
        <w:autoSpaceDE w:val="0"/>
        <w:autoSpaceDN w:val="0"/>
        <w:adjustRightInd w:val="0"/>
        <w:spacing w:line="276" w:lineRule="auto"/>
        <w:rPr>
          <w:rFonts w:ascii="Proxima Nova" w:hAnsi="Proxima Nova" w:cs="AppleSystemUIFont"/>
        </w:rPr>
      </w:pPr>
      <w:r w:rsidRPr="006469E8">
        <w:rPr>
          <w:rFonts w:ascii="Proxima Nova" w:hAnsi="Proxima Nova" w:cs="AppleSystemUIFont"/>
          <w:color w:val="000000" w:themeColor="text1"/>
          <w:lang w:val="en-GB"/>
        </w:rPr>
        <w:t xml:space="preserve">Like legislation and the judicial system, sexual consent education, more comprehensively termed, relationships education, has historically been limited in its inclusion of the experiences of people with disability, and in particular, women and girls with disability. In surveys and consultations conducted with members over decades, WWDA has received anecdotal evidence that there is a significant lack </w:t>
      </w:r>
      <w:r w:rsidRPr="006469E8">
        <w:rPr>
          <w:rFonts w:ascii="Proxima Nova" w:hAnsi="Proxima Nova" w:cs="AppleSystemUIFont"/>
          <w:lang w:val="en-GB"/>
        </w:rPr>
        <w:t xml:space="preserve">of accessible appropriate education in schools for young people with disability. For </w:t>
      </w:r>
      <w:r w:rsidRPr="006469E8">
        <w:rPr>
          <w:rFonts w:ascii="Proxima Nova" w:hAnsi="Proxima Nova" w:cs="AppleSystemUIFont"/>
          <w:lang w:val="en-GB"/>
        </w:rPr>
        <w:lastRenderedPageBreak/>
        <w:t xml:space="preserve">example, in the report from WWDA Youth Network survey on menstruation and contraception conducted in 2021 – 2022, it is noted that </w:t>
      </w:r>
      <w:r w:rsidRPr="006469E8">
        <w:rPr>
          <w:rFonts w:ascii="Proxima Nova" w:hAnsi="Proxima Nova" w:cs="AppleSystemUIFont"/>
        </w:rPr>
        <w:t xml:space="preserve">there is a significant need for </w:t>
      </w:r>
      <w:r w:rsidR="00262521" w:rsidRPr="006469E8">
        <w:rPr>
          <w:rFonts w:ascii="Proxima Nova" w:hAnsi="Proxima Nova" w:cs="AppleSystemUIFont"/>
        </w:rPr>
        <w:t>Comprehensive Sexuality Education (CSE)</w:t>
      </w:r>
      <w:r w:rsidRPr="006469E8">
        <w:rPr>
          <w:rFonts w:ascii="Proxima Nova" w:hAnsi="Proxima Nova" w:cs="AppleSystemUIFont"/>
        </w:rPr>
        <w:t xml:space="preserve"> with an integrated disability lens that supports </w:t>
      </w:r>
      <w:r w:rsidR="006469E8" w:rsidRPr="006469E8">
        <w:rPr>
          <w:rFonts w:ascii="Proxima Nova" w:hAnsi="Proxima Nova" w:cs="AppleSystemUIFont"/>
        </w:rPr>
        <w:t xml:space="preserve">young women and girls with disability </w:t>
      </w:r>
      <w:r w:rsidRPr="006469E8">
        <w:rPr>
          <w:rFonts w:ascii="Proxima Nova" w:hAnsi="Proxima Nova" w:cs="AppleSystemUIFont"/>
        </w:rPr>
        <w:t>to understand their rights to self-determination over their sexual and reproductive lives.</w:t>
      </w:r>
      <w:r w:rsidR="00BA0CC8" w:rsidRPr="006469E8">
        <w:rPr>
          <w:rFonts w:ascii="Proxima Nova" w:hAnsi="Proxima Nova" w:cs="AppleSystemUIFont"/>
        </w:rPr>
        <w:t xml:space="preserve"> Consistent with literature, participants also noted that there is an urgent need to increase skills to navigate consent and boundaries. This includes (but is not limited to) interrogating social expectations, promoting communication, and providing education to help young women and girls with disability identify coercion at earlier ages.</w:t>
      </w:r>
      <w:r w:rsidR="00BA0CC8" w:rsidRPr="006469E8">
        <w:rPr>
          <w:rStyle w:val="FootnoteReference"/>
          <w:rFonts w:ascii="Proxima Nova" w:hAnsi="Proxima Nova" w:cs="AppleSystemUIFont"/>
        </w:rPr>
        <w:footnoteReference w:id="11"/>
      </w:r>
      <w:r w:rsidR="00262521" w:rsidRPr="006469E8">
        <w:rPr>
          <w:rFonts w:ascii="Proxima Nova" w:hAnsi="Proxima Nova" w:cs="AppleSystemUIFont"/>
        </w:rPr>
        <w:br/>
      </w:r>
      <w:r w:rsidR="00262521" w:rsidRPr="006469E8">
        <w:rPr>
          <w:rFonts w:ascii="Proxima Nova" w:hAnsi="Proxima Nova" w:cs="AppleSystemUIFont"/>
        </w:rPr>
        <w:br/>
        <w:t xml:space="preserve">In particular, it is important to note that targeted education is needed for young women and girls with disability who are more likely to experience sexual and reproductive coercion that almost any other group and are significantly more likely to experience coercion in the context of decisions around reproductive health issues such as menstrual management, contraception, abortion and sterilisation. While changing legislation may impact how consent is taught in schools, it will have no bearing on the safety, sexual and reproductive health and rights of women and girls with disability if the education around it is not made accessible to and tailored to meet the specific experiences of the disabled community. </w:t>
      </w:r>
    </w:p>
    <w:p w14:paraId="6A4EF690" w14:textId="7255F270" w:rsidR="00262521" w:rsidRPr="006469E8" w:rsidRDefault="00262521" w:rsidP="006469E8">
      <w:pPr>
        <w:autoSpaceDE w:val="0"/>
        <w:autoSpaceDN w:val="0"/>
        <w:adjustRightInd w:val="0"/>
        <w:spacing w:line="276" w:lineRule="auto"/>
        <w:rPr>
          <w:rFonts w:ascii="Proxima Nova" w:hAnsi="Proxima Nova" w:cs="AppleSystemUIFont"/>
        </w:rPr>
      </w:pPr>
    </w:p>
    <w:p w14:paraId="6642A3C1" w14:textId="474A6954" w:rsidR="00262521" w:rsidRPr="006469E8" w:rsidRDefault="00262521" w:rsidP="006469E8">
      <w:pPr>
        <w:autoSpaceDE w:val="0"/>
        <w:autoSpaceDN w:val="0"/>
        <w:adjustRightInd w:val="0"/>
        <w:spacing w:line="276" w:lineRule="auto"/>
        <w:rPr>
          <w:rFonts w:ascii="Proxima Nova" w:hAnsi="Proxima Nova" w:cs="AppleSystemUIFont"/>
          <w:color w:val="000000" w:themeColor="text1"/>
          <w:lang w:val="en-GB"/>
        </w:rPr>
      </w:pPr>
      <w:r w:rsidRPr="006469E8">
        <w:rPr>
          <w:rFonts w:ascii="Proxima Nova" w:hAnsi="Proxima Nova" w:cs="AppleSystemUIFont"/>
        </w:rPr>
        <w:t xml:space="preserve">Additionally, it must be recognised that the term ‘consent education’ itself is far too narrow is not comprehensive of the multitude of topics that come under sexual and reproductive safety, </w:t>
      </w:r>
      <w:proofErr w:type="gramStart"/>
      <w:r w:rsidRPr="006469E8">
        <w:rPr>
          <w:rFonts w:ascii="Proxima Nova" w:hAnsi="Proxima Nova" w:cs="AppleSystemUIFont"/>
        </w:rPr>
        <w:t>health</w:t>
      </w:r>
      <w:proofErr w:type="gramEnd"/>
      <w:r w:rsidRPr="006469E8">
        <w:rPr>
          <w:rFonts w:ascii="Proxima Nova" w:hAnsi="Proxima Nova" w:cs="AppleSystemUIFont"/>
        </w:rPr>
        <w:t xml:space="preserve"> and rights. As a basic starting point for ensuring inclusivity, it is essential that </w:t>
      </w:r>
      <w:r w:rsidR="00190FEA" w:rsidRPr="006469E8">
        <w:rPr>
          <w:rFonts w:ascii="Proxima Nova" w:hAnsi="Proxima Nova" w:cs="AppleSystemUIFont"/>
        </w:rPr>
        <w:t xml:space="preserve">the term ‘consent education’ be abandoned. In line with international terminology and human </w:t>
      </w:r>
      <w:r w:rsidR="006469E8" w:rsidRPr="006469E8">
        <w:rPr>
          <w:rFonts w:ascii="Proxima Nova" w:hAnsi="Proxima Nova" w:cs="AppleSystemUIFont"/>
        </w:rPr>
        <w:t>rights-based</w:t>
      </w:r>
      <w:r w:rsidR="00190FEA" w:rsidRPr="006469E8">
        <w:rPr>
          <w:rFonts w:ascii="Proxima Nova" w:hAnsi="Proxima Nova" w:cs="AppleSystemUIFont"/>
        </w:rPr>
        <w:t xml:space="preserve"> frameworks, WWDA recommends using the term ‘Comprehensive Sexuality Education,’ which views ‘sexuality’ holistically and within the context of emotional and social development. It recognizes that information alone is not enough. It is asserted that young people need to be given the opportunity to acquire essential life skills and develop positive attitudes and </w:t>
      </w:r>
      <w:r w:rsidR="00190FEA" w:rsidRPr="006469E8">
        <w:rPr>
          <w:rFonts w:ascii="Proxima Nova" w:hAnsi="Proxima Nova" w:cs="AppleSystemUIFont"/>
        </w:rPr>
        <w:lastRenderedPageBreak/>
        <w:t>values. As such, CSE is made up of seven key components: gender, sexual and reproductive health and HIV, sexual rights and sexual citizenship, pleasure, violence, diversity (including disability) and relationships.</w:t>
      </w:r>
      <w:r w:rsidR="00190FEA" w:rsidRPr="006469E8">
        <w:rPr>
          <w:rStyle w:val="FootnoteReference"/>
          <w:rFonts w:ascii="Proxima Nova" w:hAnsi="Proxima Nova" w:cs="AppleSystemUIFont"/>
        </w:rPr>
        <w:footnoteReference w:id="12"/>
      </w:r>
      <w:r w:rsidR="00190FEA" w:rsidRPr="006469E8">
        <w:rPr>
          <w:rFonts w:ascii="Proxima Nova" w:hAnsi="Proxima Nova" w:cs="AppleSystemUIFont"/>
        </w:rPr>
        <w:t xml:space="preserve"> </w:t>
      </w:r>
    </w:p>
    <w:p w14:paraId="572B8369" w14:textId="77777777" w:rsidR="001E6FE0" w:rsidRPr="006469E8" w:rsidRDefault="001E6FE0" w:rsidP="006469E8">
      <w:pPr>
        <w:spacing w:line="276" w:lineRule="auto"/>
        <w:rPr>
          <w:rFonts w:ascii="Proxima Nova" w:hAnsi="Proxima Nova"/>
          <w:color w:val="000000" w:themeColor="text1"/>
          <w:lang w:val="en-GB"/>
        </w:rPr>
      </w:pPr>
    </w:p>
    <w:p w14:paraId="4FD64F2C" w14:textId="2C2E3E1A" w:rsidR="00F450FF" w:rsidRPr="006469E8" w:rsidRDefault="006469E8" w:rsidP="006469E8">
      <w:pPr>
        <w:spacing w:line="276" w:lineRule="auto"/>
        <w:rPr>
          <w:rFonts w:ascii="Proxima Nova" w:hAnsi="Proxima Nova"/>
          <w:b/>
          <w:bCs/>
          <w:color w:val="7030A0"/>
        </w:rPr>
      </w:pPr>
      <w:r w:rsidRPr="006469E8">
        <w:rPr>
          <w:rFonts w:ascii="Proxima Nova" w:hAnsi="Proxima Nova"/>
          <w:b/>
          <w:bCs/>
          <w:color w:val="000000" w:themeColor="text1"/>
        </w:rPr>
        <w:t xml:space="preserve">Recommendations specific to </w:t>
      </w:r>
      <w:r w:rsidR="000976F1">
        <w:rPr>
          <w:rFonts w:ascii="Proxima Nova" w:hAnsi="Proxima Nova"/>
          <w:b/>
          <w:bCs/>
          <w:color w:val="000000" w:themeColor="text1"/>
        </w:rPr>
        <w:t>sexual c</w:t>
      </w:r>
      <w:r w:rsidRPr="006469E8">
        <w:rPr>
          <w:rFonts w:ascii="Proxima Nova" w:hAnsi="Proxima Nova"/>
          <w:b/>
          <w:bCs/>
          <w:color w:val="000000" w:themeColor="text1"/>
        </w:rPr>
        <w:t xml:space="preserve">onsent legislation </w:t>
      </w:r>
      <w:r w:rsidR="000976F1">
        <w:rPr>
          <w:rFonts w:ascii="Proxima Nova" w:hAnsi="Proxima Nova"/>
          <w:b/>
          <w:bCs/>
          <w:color w:val="000000" w:themeColor="text1"/>
        </w:rPr>
        <w:br/>
      </w:r>
    </w:p>
    <w:p w14:paraId="2B88709D" w14:textId="2C5D6664" w:rsidR="00F450FF" w:rsidRPr="006469E8" w:rsidRDefault="00F450FF" w:rsidP="006469E8">
      <w:pPr>
        <w:spacing w:line="276" w:lineRule="auto"/>
        <w:rPr>
          <w:rFonts w:ascii="Proxima Nova" w:hAnsi="Proxima Nova"/>
          <w:color w:val="000000" w:themeColor="text1"/>
        </w:rPr>
      </w:pPr>
      <w:r w:rsidRPr="006469E8">
        <w:rPr>
          <w:rFonts w:ascii="Proxima Nova" w:hAnsi="Proxima Nova"/>
          <w:color w:val="000000" w:themeColor="text1"/>
        </w:rPr>
        <w:t xml:space="preserve">In summary, WWDA recommends that: </w:t>
      </w:r>
    </w:p>
    <w:p w14:paraId="162DCE4A" w14:textId="764FBD0E" w:rsidR="00F450FF" w:rsidRPr="006469E8" w:rsidRDefault="00F450FF" w:rsidP="006469E8">
      <w:pPr>
        <w:spacing w:line="276" w:lineRule="auto"/>
        <w:rPr>
          <w:rFonts w:ascii="Proxima Nova" w:hAnsi="Proxima Nova"/>
          <w:color w:val="000000" w:themeColor="text1"/>
        </w:rPr>
      </w:pPr>
    </w:p>
    <w:p w14:paraId="22FC3001" w14:textId="33390EE5" w:rsidR="00F450FF" w:rsidRPr="006469E8" w:rsidRDefault="00F450FF" w:rsidP="006469E8">
      <w:pPr>
        <w:pStyle w:val="ListParagraph"/>
        <w:numPr>
          <w:ilvl w:val="0"/>
          <w:numId w:val="9"/>
        </w:numPr>
        <w:spacing w:line="276" w:lineRule="auto"/>
        <w:rPr>
          <w:rFonts w:ascii="Proxima Nova" w:hAnsi="Proxima Nova"/>
          <w:color w:val="000000" w:themeColor="text1"/>
        </w:rPr>
      </w:pPr>
      <w:r w:rsidRPr="006469E8">
        <w:rPr>
          <w:rFonts w:ascii="Proxima Nova" w:hAnsi="Proxima Nova"/>
          <w:color w:val="000000" w:themeColor="text1"/>
        </w:rPr>
        <w:t xml:space="preserve">The Australian Government work with state and territory governments to conduct comprehensive and targeted consultations on any further proposed reforms to sexual assault and consent legislation with women with disability and their representative organisations, as well as key sector stakeholders, such as academics with expertise on guardianship law and substitute decision-making. </w:t>
      </w:r>
      <w:r w:rsidR="006469E8" w:rsidRPr="006469E8">
        <w:rPr>
          <w:rFonts w:ascii="Proxima Nova" w:hAnsi="Proxima Nova"/>
          <w:color w:val="000000" w:themeColor="text1"/>
        </w:rPr>
        <w:br/>
      </w:r>
    </w:p>
    <w:p w14:paraId="26688149" w14:textId="6F7675D8" w:rsidR="00F450FF" w:rsidRPr="006469E8" w:rsidRDefault="00F450FF" w:rsidP="006469E8">
      <w:pPr>
        <w:pStyle w:val="ListParagraph"/>
        <w:numPr>
          <w:ilvl w:val="0"/>
          <w:numId w:val="9"/>
        </w:numPr>
        <w:spacing w:line="276" w:lineRule="auto"/>
        <w:rPr>
          <w:rFonts w:ascii="Proxima Nova" w:hAnsi="Proxima Nova"/>
          <w:color w:val="000000" w:themeColor="text1"/>
        </w:rPr>
      </w:pPr>
      <w:r w:rsidRPr="006469E8">
        <w:rPr>
          <w:rFonts w:ascii="Proxima Nova" w:hAnsi="Proxima Nova"/>
          <w:color w:val="000000" w:themeColor="text1"/>
        </w:rPr>
        <w:t xml:space="preserve">The Australian Government work with state and territory governments and sector stakeholders to ensure that there is national consistency across consent and sexual assault legislation that incorporates a revised model of affirmative consent, that is inclusive of intersectional experiences and reflects a human rights framework that aligns with Australia’s obligations under United Nations instruments such as the e </w:t>
      </w:r>
      <w:r w:rsidRPr="006469E8">
        <w:rPr>
          <w:rFonts w:ascii="Proxima Nova" w:hAnsi="Proxima Nova"/>
          <w:i/>
          <w:iCs/>
          <w:color w:val="000000" w:themeColor="text1"/>
        </w:rPr>
        <w:t>Convention on the Elimination of All Forms of Discrimination Against Women (CEDAW) ([1983] ATS 9)</w:t>
      </w:r>
      <w:r w:rsidRPr="006469E8">
        <w:rPr>
          <w:rFonts w:ascii="Proxima Nova" w:hAnsi="Proxima Nova"/>
          <w:color w:val="000000" w:themeColor="text1"/>
        </w:rPr>
        <w:t xml:space="preserve"> and the </w:t>
      </w:r>
      <w:r w:rsidRPr="006469E8">
        <w:rPr>
          <w:rFonts w:ascii="Proxima Nova" w:hAnsi="Proxima Nova"/>
          <w:i/>
          <w:iCs/>
          <w:color w:val="000000" w:themeColor="text1"/>
        </w:rPr>
        <w:t>United Nations Convention on the Rights of the Child (CRC) ([1991] ATS 4)</w:t>
      </w:r>
      <w:r w:rsidRPr="006469E8">
        <w:rPr>
          <w:rFonts w:ascii="Proxima Nova" w:hAnsi="Proxima Nova"/>
          <w:color w:val="000000" w:themeColor="text1"/>
        </w:rPr>
        <w:t xml:space="preserve">.  </w:t>
      </w:r>
    </w:p>
    <w:p w14:paraId="2E93C36D" w14:textId="667835EB" w:rsidR="006469E8" w:rsidRPr="006469E8" w:rsidRDefault="006469E8" w:rsidP="006469E8">
      <w:pPr>
        <w:spacing w:line="276" w:lineRule="auto"/>
        <w:rPr>
          <w:rFonts w:ascii="Proxima Nova" w:hAnsi="Proxima Nova"/>
          <w:color w:val="000000" w:themeColor="text1"/>
        </w:rPr>
      </w:pPr>
    </w:p>
    <w:p w14:paraId="614DDCD7" w14:textId="77777777" w:rsidR="006469E8" w:rsidRPr="006469E8" w:rsidRDefault="006469E8" w:rsidP="006469E8">
      <w:pPr>
        <w:spacing w:line="276" w:lineRule="auto"/>
        <w:rPr>
          <w:rFonts w:ascii="Proxima Nova" w:hAnsi="Proxima Nova"/>
          <w:b/>
          <w:bCs/>
          <w:color w:val="000000" w:themeColor="text1"/>
        </w:rPr>
      </w:pPr>
      <w:r w:rsidRPr="006469E8">
        <w:rPr>
          <w:rFonts w:ascii="Proxima Nova" w:hAnsi="Proxima Nova"/>
          <w:b/>
          <w:bCs/>
          <w:color w:val="000000" w:themeColor="text1"/>
        </w:rPr>
        <w:t>Recommendations for the Australian Government more broadly</w:t>
      </w:r>
    </w:p>
    <w:p w14:paraId="2CB971C2" w14:textId="77777777" w:rsidR="006469E8" w:rsidRPr="006469E8" w:rsidRDefault="006469E8" w:rsidP="006469E8">
      <w:pPr>
        <w:spacing w:line="276" w:lineRule="auto"/>
        <w:rPr>
          <w:rFonts w:ascii="Proxima Nova" w:hAnsi="Proxima Nova"/>
          <w:color w:val="000000" w:themeColor="text1"/>
        </w:rPr>
      </w:pPr>
    </w:p>
    <w:p w14:paraId="25A83585" w14:textId="7ECFDDFD" w:rsidR="006469E8" w:rsidRPr="006469E8" w:rsidRDefault="003F4B6D" w:rsidP="006469E8">
      <w:pPr>
        <w:pStyle w:val="ListParagraph"/>
        <w:numPr>
          <w:ilvl w:val="0"/>
          <w:numId w:val="9"/>
        </w:numPr>
        <w:spacing w:line="276" w:lineRule="auto"/>
        <w:rPr>
          <w:rFonts w:ascii="Proxima Nova" w:hAnsi="Proxima Nova"/>
          <w:color w:val="000000" w:themeColor="text1"/>
        </w:rPr>
      </w:pPr>
      <w:r w:rsidRPr="006469E8">
        <w:rPr>
          <w:rFonts w:ascii="Proxima Nova" w:hAnsi="Proxima Nova"/>
          <w:color w:val="000000" w:themeColor="text1"/>
        </w:rPr>
        <w:t xml:space="preserve">That the Australian Government </w:t>
      </w:r>
      <w:r w:rsidR="00F450FF" w:rsidRPr="006469E8">
        <w:rPr>
          <w:rFonts w:ascii="Proxima Nova" w:hAnsi="Proxima Nova"/>
          <w:color w:val="000000" w:themeColor="text1"/>
        </w:rPr>
        <w:t xml:space="preserve">provide resources to </w:t>
      </w:r>
      <w:r w:rsidRPr="006469E8">
        <w:rPr>
          <w:rFonts w:ascii="Proxima Nova" w:hAnsi="Proxima Nova"/>
          <w:color w:val="000000" w:themeColor="text1"/>
        </w:rPr>
        <w:t>ensure</w:t>
      </w:r>
      <w:r w:rsidR="00F450FF" w:rsidRPr="006469E8">
        <w:rPr>
          <w:rFonts w:ascii="Proxima Nova" w:hAnsi="Proxima Nova"/>
          <w:color w:val="000000" w:themeColor="text1"/>
        </w:rPr>
        <w:t xml:space="preserve"> that the</w:t>
      </w:r>
      <w:r w:rsidRPr="006469E8">
        <w:rPr>
          <w:rFonts w:ascii="Proxima Nova" w:hAnsi="Proxima Nova"/>
          <w:color w:val="000000" w:themeColor="text1"/>
        </w:rPr>
        <w:t xml:space="preserve"> implementation of affirmative consent models in legislation </w:t>
      </w:r>
      <w:r w:rsidR="00F450FF" w:rsidRPr="006469E8">
        <w:rPr>
          <w:rFonts w:ascii="Proxima Nova" w:hAnsi="Proxima Nova"/>
          <w:color w:val="000000" w:themeColor="text1"/>
        </w:rPr>
        <w:t>are</w:t>
      </w:r>
      <w:r w:rsidRPr="006469E8">
        <w:rPr>
          <w:rFonts w:ascii="Proxima Nova" w:hAnsi="Proxima Nova"/>
          <w:color w:val="000000" w:themeColor="text1"/>
        </w:rPr>
        <w:t xml:space="preserve"> accompanied </w:t>
      </w:r>
      <w:r w:rsidRPr="006469E8">
        <w:rPr>
          <w:rFonts w:ascii="Proxima Nova" w:hAnsi="Proxima Nova"/>
          <w:color w:val="000000" w:themeColor="text1"/>
        </w:rPr>
        <w:lastRenderedPageBreak/>
        <w:t xml:space="preserve">efforts to improve judicial and community understandings of disability and the various communication differences among the disabled community. </w:t>
      </w:r>
    </w:p>
    <w:p w14:paraId="4119FD9E" w14:textId="77777777" w:rsidR="006469E8" w:rsidRPr="006469E8" w:rsidRDefault="006469E8" w:rsidP="006469E8">
      <w:pPr>
        <w:pStyle w:val="ListParagraph"/>
        <w:spacing w:line="276" w:lineRule="auto"/>
        <w:rPr>
          <w:rFonts w:ascii="Proxima Nova" w:hAnsi="Proxima Nova"/>
          <w:lang w:val="en-GB"/>
        </w:rPr>
      </w:pPr>
    </w:p>
    <w:p w14:paraId="224197C6" w14:textId="14629985" w:rsidR="006469E8" w:rsidRPr="006469E8" w:rsidRDefault="006469E8" w:rsidP="006469E8">
      <w:pPr>
        <w:pStyle w:val="ListParagraph"/>
        <w:numPr>
          <w:ilvl w:val="0"/>
          <w:numId w:val="9"/>
        </w:numPr>
        <w:spacing w:line="276" w:lineRule="auto"/>
        <w:rPr>
          <w:rFonts w:ascii="Proxima Nova" w:hAnsi="Proxima Nova"/>
          <w:lang w:val="en-GB"/>
        </w:rPr>
      </w:pPr>
      <w:r w:rsidRPr="006469E8">
        <w:rPr>
          <w:rFonts w:ascii="Proxima Nova" w:hAnsi="Proxima Nova"/>
          <w:lang w:val="en-GB"/>
        </w:rPr>
        <w:t>That Australian Government in association with State and Territory Governments commission a national inquiry into ableism (including</w:t>
      </w:r>
    </w:p>
    <w:p w14:paraId="096F4E28" w14:textId="58CD20D0" w:rsidR="006469E8" w:rsidRPr="006469E8" w:rsidRDefault="006469E8" w:rsidP="006469E8">
      <w:pPr>
        <w:pStyle w:val="ListParagraph"/>
        <w:spacing w:line="276" w:lineRule="auto"/>
        <w:rPr>
          <w:rFonts w:ascii="Proxima Nova" w:hAnsi="Proxima Nova"/>
          <w:lang w:val="en-GB"/>
        </w:rPr>
      </w:pPr>
      <w:r w:rsidRPr="006469E8">
        <w:rPr>
          <w:rFonts w:ascii="Proxima Nova" w:hAnsi="Proxima Nova"/>
          <w:lang w:val="en-GB"/>
        </w:rPr>
        <w:t>gendered ableism), discrimination and segregation experienced by women and girls with disability in Australian legal and justice systems.</w:t>
      </w:r>
      <w:r w:rsidRPr="006469E8">
        <w:rPr>
          <w:rFonts w:ascii="Proxima Nova" w:hAnsi="Proxima Nova"/>
          <w:lang w:val="en-GB"/>
        </w:rPr>
        <w:br/>
      </w:r>
    </w:p>
    <w:p w14:paraId="32D5A1A0" w14:textId="77777777" w:rsidR="006469E8" w:rsidRPr="006469E8" w:rsidRDefault="006469E8" w:rsidP="006469E8">
      <w:pPr>
        <w:pStyle w:val="ListParagraph"/>
        <w:numPr>
          <w:ilvl w:val="0"/>
          <w:numId w:val="9"/>
        </w:numPr>
        <w:spacing w:line="276" w:lineRule="auto"/>
        <w:rPr>
          <w:rFonts w:ascii="Proxima Nova" w:hAnsi="Proxima Nova"/>
          <w:lang w:val="en-GB"/>
        </w:rPr>
      </w:pPr>
      <w:r w:rsidRPr="006469E8">
        <w:rPr>
          <w:rFonts w:ascii="Proxima Nova" w:hAnsi="Proxima Nova"/>
          <w:lang w:val="en-GB"/>
        </w:rPr>
        <w:t>That the Australian Government and State and Territory Governments commit to the elimination use of substituted decision-making in court and tribunal</w:t>
      </w:r>
    </w:p>
    <w:p w14:paraId="48A635EA" w14:textId="45796817" w:rsidR="006469E8" w:rsidRPr="006469E8" w:rsidRDefault="006469E8" w:rsidP="006469E8">
      <w:pPr>
        <w:pStyle w:val="ListParagraph"/>
        <w:spacing w:line="276" w:lineRule="auto"/>
        <w:rPr>
          <w:rFonts w:ascii="Proxima Nova" w:hAnsi="Proxima Nova"/>
          <w:lang w:val="en-GB"/>
        </w:rPr>
      </w:pPr>
      <w:r w:rsidRPr="006469E8">
        <w:rPr>
          <w:rFonts w:ascii="Proxima Nova" w:hAnsi="Proxima Nova"/>
          <w:lang w:val="en-GB"/>
        </w:rPr>
        <w:t xml:space="preserve">Proceedings and introduce supported decision-making in justice </w:t>
      </w:r>
      <w:proofErr w:type="gramStart"/>
      <w:r w:rsidRPr="006469E8">
        <w:rPr>
          <w:rFonts w:ascii="Proxima Nova" w:hAnsi="Proxima Nova"/>
          <w:lang w:val="en-GB"/>
        </w:rPr>
        <w:t>systems</w:t>
      </w:r>
      <w:proofErr w:type="gramEnd"/>
    </w:p>
    <w:p w14:paraId="1E581807" w14:textId="5070AE2B" w:rsidR="006469E8" w:rsidRPr="006469E8" w:rsidRDefault="006469E8" w:rsidP="006469E8">
      <w:pPr>
        <w:pStyle w:val="ListParagraph"/>
        <w:spacing w:line="276" w:lineRule="auto"/>
        <w:rPr>
          <w:rFonts w:ascii="Proxima Nova" w:hAnsi="Proxima Nova"/>
          <w:lang w:val="en-GB"/>
        </w:rPr>
      </w:pPr>
      <w:r w:rsidRPr="006469E8">
        <w:rPr>
          <w:rFonts w:ascii="Proxima Nova" w:hAnsi="Proxima Nova"/>
          <w:lang w:val="en-GB"/>
        </w:rPr>
        <w:t xml:space="preserve">and provide access to associated supports and resources for people with disability to fully participate in court proceedings, including the provision of information in Easy Read, Plain English or other formats, sign and other language interpreters. </w:t>
      </w:r>
      <w:r w:rsidRPr="006469E8">
        <w:rPr>
          <w:rFonts w:ascii="Proxima Nova" w:hAnsi="Proxima Nova"/>
          <w:lang w:val="en-GB"/>
        </w:rPr>
        <w:br/>
      </w:r>
    </w:p>
    <w:p w14:paraId="1BB104B0" w14:textId="77B9B482" w:rsidR="006469E8" w:rsidRPr="006469E8" w:rsidRDefault="006469E8" w:rsidP="006469E8">
      <w:pPr>
        <w:pStyle w:val="ListParagraph"/>
        <w:numPr>
          <w:ilvl w:val="0"/>
          <w:numId w:val="9"/>
        </w:numPr>
        <w:spacing w:line="276" w:lineRule="auto"/>
        <w:rPr>
          <w:rFonts w:ascii="Proxima Nova" w:hAnsi="Proxima Nova"/>
          <w:lang w:val="en-GB"/>
        </w:rPr>
      </w:pPr>
      <w:r w:rsidRPr="006469E8">
        <w:rPr>
          <w:rFonts w:ascii="Proxima Nova" w:hAnsi="Proxima Nova"/>
          <w:lang w:val="en-GB"/>
        </w:rPr>
        <w:t xml:space="preserve">That the Australian Government develop and deliver mandated disability </w:t>
      </w:r>
    </w:p>
    <w:p w14:paraId="212076D0" w14:textId="1AB5806F" w:rsidR="006469E8" w:rsidRDefault="006469E8" w:rsidP="006469E8">
      <w:pPr>
        <w:pStyle w:val="ListParagraph"/>
        <w:spacing w:line="276" w:lineRule="auto"/>
        <w:rPr>
          <w:rFonts w:ascii="Proxima Nova" w:hAnsi="Proxima Nova"/>
          <w:lang w:val="en-GB"/>
        </w:rPr>
      </w:pPr>
      <w:r w:rsidRPr="006469E8">
        <w:rPr>
          <w:rFonts w:ascii="Proxima Nova" w:hAnsi="Proxima Nova"/>
          <w:lang w:val="en-GB"/>
        </w:rPr>
        <w:t>awareness training for of, all actors in the justice system (including for e.g.: police, judges, lawyers, court officials, prison staff) in co-design with people with disability and their representative organisations.</w:t>
      </w:r>
    </w:p>
    <w:p w14:paraId="400CD700" w14:textId="47A0E913" w:rsidR="00D13F76" w:rsidRDefault="00D13F76" w:rsidP="006469E8">
      <w:pPr>
        <w:pStyle w:val="ListParagraph"/>
        <w:spacing w:line="276" w:lineRule="auto"/>
        <w:rPr>
          <w:rFonts w:ascii="Proxima Nova" w:hAnsi="Proxima Nova"/>
          <w:lang w:val="en-GB"/>
        </w:rPr>
      </w:pPr>
    </w:p>
    <w:p w14:paraId="7D90D59D" w14:textId="4548FE81" w:rsidR="00D13F76" w:rsidRPr="00D13F76" w:rsidRDefault="00D13F76" w:rsidP="00D13F76">
      <w:pPr>
        <w:pStyle w:val="ListParagraph"/>
        <w:numPr>
          <w:ilvl w:val="0"/>
          <w:numId w:val="9"/>
        </w:numPr>
        <w:spacing w:line="276" w:lineRule="auto"/>
        <w:rPr>
          <w:rFonts w:ascii="Proxima Nova" w:hAnsi="Proxima Nova"/>
          <w:lang w:val="en-GB"/>
        </w:rPr>
      </w:pPr>
      <w:r>
        <w:rPr>
          <w:rFonts w:ascii="Proxima Nova" w:hAnsi="Proxima Nova"/>
          <w:lang w:val="en-GB"/>
        </w:rPr>
        <w:t>That the Australian Government abandon the term ‘</w:t>
      </w:r>
      <w:r w:rsidRPr="006469E8">
        <w:rPr>
          <w:rFonts w:ascii="Proxima Nova" w:hAnsi="Proxima Nova" w:cs="AppleSystemUIFont"/>
        </w:rPr>
        <w:t>consent education</w:t>
      </w:r>
      <w:r>
        <w:rPr>
          <w:rFonts w:ascii="Proxima Nova" w:hAnsi="Proxima Nova" w:cs="AppleSystemUIFont"/>
        </w:rPr>
        <w:t>,’ and adopt the term ‘Comprehensive Sexuality Education’ (CSE),</w:t>
      </w:r>
      <w:r w:rsidRPr="00D13F76">
        <w:rPr>
          <w:rFonts w:ascii="Proxima Nova" w:hAnsi="Proxima Nova" w:cs="AppleSystemUIFont"/>
        </w:rPr>
        <w:t xml:space="preserve"> </w:t>
      </w:r>
      <w:r w:rsidRPr="006469E8">
        <w:rPr>
          <w:rFonts w:ascii="Proxima Nova" w:hAnsi="Proxima Nova" w:cs="AppleSystemUIFont"/>
        </w:rPr>
        <w:t>which views ‘sexuality’ holistically and within the context of emotional and social development</w:t>
      </w:r>
      <w:r>
        <w:rPr>
          <w:rFonts w:ascii="Proxima Nova" w:hAnsi="Proxima Nova" w:cs="AppleSystemUIFont"/>
        </w:rPr>
        <w:t xml:space="preserve"> and encompasses </w:t>
      </w:r>
      <w:r w:rsidRPr="00D13F76">
        <w:rPr>
          <w:rFonts w:ascii="Proxima Nova" w:hAnsi="Proxima Nova" w:cs="AppleSystemUIFont"/>
        </w:rPr>
        <w:t>seven key components</w:t>
      </w:r>
      <w:r>
        <w:rPr>
          <w:rFonts w:ascii="Proxima Nova" w:hAnsi="Proxima Nova" w:cs="AppleSystemUIFont"/>
        </w:rPr>
        <w:t xml:space="preserve">, including: </w:t>
      </w:r>
      <w:r w:rsidRPr="00D13F76">
        <w:rPr>
          <w:rFonts w:ascii="Proxima Nova" w:hAnsi="Proxima Nova" w:cs="AppleSystemUIFont"/>
        </w:rPr>
        <w:t>gender, sexual and reproductive health and HIV, sexual rights and sexual citizenship, pleasure, violence, diversity (including disability) and relationships</w:t>
      </w:r>
      <w:r>
        <w:rPr>
          <w:rFonts w:ascii="Proxima Nova" w:hAnsi="Proxima Nova" w:cs="AppleSystemUIFont"/>
        </w:rPr>
        <w:t>.</w:t>
      </w:r>
      <w:r>
        <w:rPr>
          <w:rFonts w:ascii="Proxima Nova" w:hAnsi="Proxima Nova" w:cs="AppleSystemUIFont"/>
        </w:rPr>
        <w:br/>
      </w:r>
    </w:p>
    <w:p w14:paraId="5933B0C2" w14:textId="2E12B413" w:rsidR="006469E8" w:rsidRPr="00673925" w:rsidRDefault="00D13F76" w:rsidP="00673925">
      <w:pPr>
        <w:pStyle w:val="ListParagraph"/>
        <w:numPr>
          <w:ilvl w:val="0"/>
          <w:numId w:val="9"/>
        </w:numPr>
        <w:spacing w:line="276" w:lineRule="auto"/>
        <w:rPr>
          <w:rFonts w:ascii="Proxima Nova" w:hAnsi="Proxima Nova"/>
          <w:lang w:val="en-GB"/>
        </w:rPr>
      </w:pPr>
      <w:r>
        <w:rPr>
          <w:rFonts w:ascii="Proxima Nova" w:hAnsi="Proxima Nova"/>
          <w:lang w:val="en-GB"/>
        </w:rPr>
        <w:lastRenderedPageBreak/>
        <w:t xml:space="preserve">That the Australian Government </w:t>
      </w:r>
      <w:r w:rsidRPr="006469E8">
        <w:rPr>
          <w:rFonts w:ascii="Proxima Nova" w:hAnsi="Proxima Nova"/>
          <w:color w:val="000000" w:themeColor="text1"/>
        </w:rPr>
        <w:t xml:space="preserve">work with state and territory governments </w:t>
      </w:r>
      <w:r>
        <w:rPr>
          <w:rFonts w:ascii="Proxima Nova" w:hAnsi="Proxima Nova"/>
          <w:color w:val="000000" w:themeColor="text1"/>
        </w:rPr>
        <w:t xml:space="preserve">to </w:t>
      </w:r>
      <w:r>
        <w:rPr>
          <w:rFonts w:ascii="Proxima Nova" w:hAnsi="Proxima Nova"/>
          <w:lang w:val="en-GB"/>
        </w:rPr>
        <w:t xml:space="preserve">implement mandatory intersectional and accessible </w:t>
      </w:r>
      <w:r>
        <w:rPr>
          <w:rFonts w:ascii="Proxima Nova" w:hAnsi="Proxima Nova" w:cs="AppleSystemUIFont"/>
        </w:rPr>
        <w:t xml:space="preserve">Comprehensive Sexuality Education, that is inclusive of the experiences of people with disability across the national curriculum. </w:t>
      </w:r>
    </w:p>
    <w:p w14:paraId="1E930283" w14:textId="137DF71A" w:rsidR="00673925" w:rsidRDefault="00673925" w:rsidP="00673925">
      <w:pPr>
        <w:spacing w:line="276" w:lineRule="auto"/>
        <w:rPr>
          <w:rFonts w:ascii="Proxima Nova" w:hAnsi="Proxima Nova"/>
          <w:lang w:val="en-GB"/>
        </w:rPr>
      </w:pPr>
    </w:p>
    <w:p w14:paraId="7BD00480" w14:textId="22A7D522" w:rsidR="00673925" w:rsidRDefault="00673925" w:rsidP="00673925">
      <w:pPr>
        <w:spacing w:line="360" w:lineRule="auto"/>
        <w:rPr>
          <w:rFonts w:ascii="Proxima Nova" w:hAnsi="Proxima Nova"/>
          <w:color w:val="000000" w:themeColor="text1"/>
        </w:rPr>
      </w:pPr>
      <w:r>
        <w:rPr>
          <w:rFonts w:ascii="Proxima Nova" w:hAnsi="Proxima Nova"/>
          <w:lang w:val="en-GB"/>
        </w:rPr>
        <w:t xml:space="preserve">Thank you for taking the time to read WWDA’s submission. We look forward to hearing further about </w:t>
      </w:r>
      <w:r w:rsidR="00823664">
        <w:rPr>
          <w:rFonts w:ascii="Proxima Nova" w:hAnsi="Proxima Nova"/>
          <w:lang w:val="en-GB"/>
        </w:rPr>
        <w:t xml:space="preserve">any reforms to sexual consent and assault legislation in </w:t>
      </w:r>
      <w:r w:rsidRPr="002F289E">
        <w:rPr>
          <w:rFonts w:ascii="Proxima Nova" w:hAnsi="Proxima Nova"/>
          <w:color w:val="000000" w:themeColor="text1"/>
        </w:rPr>
        <w:t>2023</w:t>
      </w:r>
      <w:r>
        <w:rPr>
          <w:rFonts w:ascii="Proxima Nova" w:hAnsi="Proxima Nova"/>
          <w:color w:val="000000" w:themeColor="text1"/>
        </w:rPr>
        <w:t xml:space="preserve">. </w:t>
      </w:r>
    </w:p>
    <w:p w14:paraId="76499716" w14:textId="77777777" w:rsidR="00673925" w:rsidRDefault="00673925" w:rsidP="00673925">
      <w:pPr>
        <w:spacing w:line="360" w:lineRule="auto"/>
        <w:rPr>
          <w:rFonts w:ascii="Proxima Nova" w:hAnsi="Proxima Nova"/>
          <w:color w:val="000000" w:themeColor="text1"/>
        </w:rPr>
      </w:pPr>
    </w:p>
    <w:p w14:paraId="0036191D" w14:textId="77777777" w:rsidR="00673925" w:rsidRDefault="00673925" w:rsidP="00673925">
      <w:pPr>
        <w:spacing w:line="360" w:lineRule="auto"/>
        <w:rPr>
          <w:rFonts w:ascii="Proxima Nova" w:hAnsi="Proxima Nova"/>
          <w:color w:val="000000" w:themeColor="text1"/>
        </w:rPr>
      </w:pPr>
      <w:r>
        <w:rPr>
          <w:rFonts w:ascii="Proxima Nova" w:hAnsi="Proxima Nova"/>
          <w:color w:val="000000" w:themeColor="text1"/>
        </w:rPr>
        <w:t xml:space="preserve">Your sincerely </w:t>
      </w:r>
    </w:p>
    <w:p w14:paraId="627D4BC1" w14:textId="77777777" w:rsidR="00673925" w:rsidRPr="00673925" w:rsidRDefault="00673925" w:rsidP="00673925">
      <w:pPr>
        <w:spacing w:line="276" w:lineRule="auto"/>
        <w:rPr>
          <w:rFonts w:ascii="Proxima Nova" w:hAnsi="Proxima Nova"/>
          <w:lang w:val="en-GB"/>
        </w:rPr>
      </w:pPr>
    </w:p>
    <w:p w14:paraId="0F241B98" w14:textId="6FED3C66" w:rsidR="003F4B6D" w:rsidRDefault="00673925" w:rsidP="006469E8">
      <w:pPr>
        <w:spacing w:line="276" w:lineRule="auto"/>
        <w:rPr>
          <w:rFonts w:ascii="Proxima Nova" w:hAnsi="Proxima Nova"/>
          <w:color w:val="000000" w:themeColor="text1"/>
        </w:rPr>
      </w:pPr>
      <w:r>
        <w:rPr>
          <w:rFonts w:ascii="Proxima Nova" w:hAnsi="Proxima Nova"/>
          <w:color w:val="000000" w:themeColor="text1"/>
        </w:rPr>
        <w:t xml:space="preserve">Carolyn Frohmader </w:t>
      </w:r>
    </w:p>
    <w:p w14:paraId="7ADFCBF3" w14:textId="507E0B51" w:rsidR="00673925" w:rsidRDefault="00673925" w:rsidP="006469E8">
      <w:pPr>
        <w:spacing w:line="276" w:lineRule="auto"/>
        <w:rPr>
          <w:rFonts w:ascii="Proxima Nova" w:hAnsi="Proxima Nova"/>
          <w:color w:val="000000" w:themeColor="text1"/>
        </w:rPr>
      </w:pPr>
      <w:r>
        <w:rPr>
          <w:rFonts w:ascii="Proxima Nova" w:hAnsi="Proxima Nova"/>
          <w:color w:val="000000" w:themeColor="text1"/>
        </w:rPr>
        <w:t xml:space="preserve">Executive Director </w:t>
      </w:r>
      <w:r>
        <w:rPr>
          <w:rFonts w:ascii="Proxima Nova" w:hAnsi="Proxima Nova"/>
          <w:color w:val="000000" w:themeColor="text1"/>
        </w:rPr>
        <w:br/>
        <w:t xml:space="preserve">Women With Disabilities Australia </w:t>
      </w:r>
      <w:r w:rsidR="00540AC1">
        <w:rPr>
          <w:rFonts w:ascii="Proxima Nova" w:hAnsi="Proxima Nova"/>
          <w:color w:val="000000" w:themeColor="text1"/>
        </w:rPr>
        <w:t>(WWDA)</w:t>
      </w:r>
    </w:p>
    <w:p w14:paraId="4DC38BDF" w14:textId="473100CC" w:rsidR="00673925" w:rsidRPr="006469E8" w:rsidRDefault="00540AC1" w:rsidP="006469E8">
      <w:pPr>
        <w:spacing w:line="276" w:lineRule="auto"/>
        <w:rPr>
          <w:rFonts w:ascii="Proxima Nova" w:hAnsi="Proxima Nova"/>
          <w:color w:val="000000" w:themeColor="text1"/>
        </w:rPr>
      </w:pPr>
      <w:r>
        <w:rPr>
          <w:rFonts w:ascii="Proxima Nova" w:hAnsi="Proxima Nova"/>
          <w:noProof/>
          <w:color w:val="000000" w:themeColor="text1"/>
        </w:rPr>
        <w:drawing>
          <wp:inline distT="0" distB="0" distL="0" distR="0" wp14:anchorId="3DF87F21" wp14:editId="754A99AC">
            <wp:extent cx="1612900" cy="838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1612900" cy="838200"/>
                    </a:xfrm>
                    <a:prstGeom prst="rect">
                      <a:avLst/>
                    </a:prstGeom>
                  </pic:spPr>
                </pic:pic>
              </a:graphicData>
            </a:graphic>
          </wp:inline>
        </w:drawing>
      </w:r>
    </w:p>
    <w:p w14:paraId="2D391AA3" w14:textId="77777777" w:rsidR="003F4B6D" w:rsidRPr="006469E8" w:rsidRDefault="003F4B6D" w:rsidP="006469E8">
      <w:pPr>
        <w:spacing w:line="276" w:lineRule="auto"/>
        <w:rPr>
          <w:rFonts w:ascii="Proxima Nova" w:hAnsi="Proxima Nova"/>
        </w:rPr>
      </w:pPr>
    </w:p>
    <w:sectPr w:rsidR="003F4B6D" w:rsidRPr="006469E8" w:rsidSect="00717F50">
      <w:headerReference w:type="default" r:id="rId9"/>
      <w:footerReference w:type="even" r:id="rId10"/>
      <w:footerReference w:type="default" r:id="rId11"/>
      <w:headerReference w:type="first" r:id="rId12"/>
      <w:footerReference w:type="first" r:id="rId13"/>
      <w:pgSz w:w="11900" w:h="16840"/>
      <w:pgMar w:top="1440" w:right="1440" w:bottom="1440" w:left="1440" w:header="340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63F98" w14:textId="77777777" w:rsidR="00216179" w:rsidRDefault="00216179" w:rsidP="001E6FE0">
      <w:r>
        <w:separator/>
      </w:r>
    </w:p>
  </w:endnote>
  <w:endnote w:type="continuationSeparator" w:id="0">
    <w:p w14:paraId="59C70554" w14:textId="77777777" w:rsidR="00216179" w:rsidRDefault="00216179" w:rsidP="001E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roxima Nova">
    <w:panose1 w:val="02000506030000020004"/>
    <w:charset w:val="00"/>
    <w:family w:val="auto"/>
    <w:notTrueType/>
    <w:pitch w:val="variable"/>
    <w:sig w:usb0="20000287" w:usb1="00000001" w:usb2="00000000" w:usb3="00000000" w:csb0="0000019F" w:csb1="00000000"/>
  </w:font>
  <w:font w:name="Open Sans">
    <w:panose1 w:val="020B0604020202020204"/>
    <w:charset w:val="00"/>
    <w:family w:val="swiss"/>
    <w:pitch w:val="variable"/>
    <w:sig w:usb0="E00002EF" w:usb1="4000205B" w:usb2="00000028" w:usb3="00000000" w:csb0="0000019F" w:csb1="00000000"/>
  </w:font>
  <w:font w:name="AppleSystemUIFont">
    <w:altName w:val="Calibri"/>
    <w:panose1 w:val="020B0604020202020204"/>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674565"/>
      <w:docPartObj>
        <w:docPartGallery w:val="Page Numbers (Bottom of Page)"/>
        <w:docPartUnique/>
      </w:docPartObj>
    </w:sdtPr>
    <w:sdtContent>
      <w:p w14:paraId="14F4C08F" w14:textId="37D593CF" w:rsidR="00D13F76" w:rsidRDefault="00D13F76" w:rsidP="00A91EB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sdtContent>
  </w:sdt>
  <w:p w14:paraId="16249855" w14:textId="77777777" w:rsidR="00D13F76" w:rsidRDefault="00D13F76" w:rsidP="00D13F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1C7F2" w14:textId="25A3552C" w:rsidR="00D13F76" w:rsidRDefault="009A7D11" w:rsidP="00D13F76">
    <w:pPr>
      <w:pStyle w:val="Footer"/>
      <w:ind w:right="360"/>
    </w:pPr>
    <w:r>
      <w:rPr>
        <w:noProof/>
      </w:rPr>
      <w:drawing>
        <wp:anchor distT="0" distB="0" distL="114300" distR="114300" simplePos="0" relativeHeight="251663360" behindDoc="0" locked="0" layoutInCell="1" allowOverlap="1" wp14:anchorId="060748DD" wp14:editId="165C643F">
          <wp:simplePos x="0" y="0"/>
          <wp:positionH relativeFrom="column">
            <wp:posOffset>-905933</wp:posOffset>
          </wp:positionH>
          <wp:positionV relativeFrom="page">
            <wp:posOffset>9541087</wp:posOffset>
          </wp:positionV>
          <wp:extent cx="7581900" cy="1210310"/>
          <wp:effectExtent l="0" t="0" r="0" b="0"/>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81900" cy="121031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BE78C" w14:textId="782EABB0" w:rsidR="009A7D11" w:rsidRDefault="009A7D11" w:rsidP="009A7D11">
    <w:pPr>
      <w:pStyle w:val="Footer"/>
      <w:tabs>
        <w:tab w:val="left" w:pos="4253"/>
      </w:tabs>
    </w:pPr>
    <w:r>
      <w:rPr>
        <w:noProof/>
      </w:rPr>
      <w:drawing>
        <wp:anchor distT="0" distB="0" distL="114300" distR="114300" simplePos="0" relativeHeight="251661312" behindDoc="0" locked="0" layoutInCell="1" allowOverlap="1" wp14:anchorId="317D8A3B" wp14:editId="447C3CC9">
          <wp:simplePos x="0" y="0"/>
          <wp:positionH relativeFrom="column">
            <wp:posOffset>-922867</wp:posOffset>
          </wp:positionH>
          <wp:positionV relativeFrom="page">
            <wp:posOffset>9498754</wp:posOffset>
          </wp:positionV>
          <wp:extent cx="7581900" cy="1210310"/>
          <wp:effectExtent l="0" t="0" r="0" b="0"/>
          <wp:wrapSquare wrapText="bothSides"/>
          <wp:docPr id="9"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81900" cy="121031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33C74" w14:textId="77777777" w:rsidR="00216179" w:rsidRDefault="00216179" w:rsidP="001E6FE0">
      <w:r>
        <w:separator/>
      </w:r>
    </w:p>
  </w:footnote>
  <w:footnote w:type="continuationSeparator" w:id="0">
    <w:p w14:paraId="6EC94BB3" w14:textId="77777777" w:rsidR="00216179" w:rsidRDefault="00216179" w:rsidP="001E6FE0">
      <w:r>
        <w:continuationSeparator/>
      </w:r>
    </w:p>
  </w:footnote>
  <w:footnote w:id="1">
    <w:p w14:paraId="278FD386" w14:textId="77777777" w:rsidR="001E6FE0" w:rsidRPr="009A7D11" w:rsidRDefault="001E6FE0" w:rsidP="001E6FE0">
      <w:pPr>
        <w:pStyle w:val="FootnoteText"/>
        <w:rPr>
          <w:rFonts w:ascii="Proxima Nova" w:hAnsi="Proxima Nova"/>
          <w:sz w:val="16"/>
          <w:szCs w:val="16"/>
        </w:rPr>
      </w:pPr>
      <w:r w:rsidRPr="009A7D11">
        <w:rPr>
          <w:rStyle w:val="FootnoteReference"/>
          <w:rFonts w:ascii="Proxima Nova" w:hAnsi="Proxima Nova"/>
          <w:sz w:val="16"/>
          <w:szCs w:val="16"/>
        </w:rPr>
        <w:footnoteRef/>
      </w:r>
      <w:r w:rsidRPr="009A7D11">
        <w:rPr>
          <w:rFonts w:ascii="Proxima Nova" w:hAnsi="Proxima Nova"/>
          <w:sz w:val="16"/>
          <w:szCs w:val="16"/>
        </w:rPr>
        <w:t xml:space="preserve"> Disabled People’s Organisations (DPOs) are recognised around the world, and in international human rights law, as self-determining organisations led by, controlled by, and constituted of, people with disability. DPOs are organisations of people with disability, as opposed to organisations which may represent people with disability. </w:t>
      </w:r>
    </w:p>
  </w:footnote>
  <w:footnote w:id="2">
    <w:p w14:paraId="53B27D3E" w14:textId="77777777" w:rsidR="001E6FE0" w:rsidRPr="00673925" w:rsidRDefault="001E6FE0" w:rsidP="001E6FE0">
      <w:pPr>
        <w:pStyle w:val="FootnoteText"/>
        <w:rPr>
          <w:rFonts w:ascii="Proxima Nova" w:hAnsi="Proxima Nova"/>
          <w:sz w:val="18"/>
          <w:szCs w:val="18"/>
        </w:rPr>
      </w:pPr>
      <w:r w:rsidRPr="009A7D11">
        <w:rPr>
          <w:rStyle w:val="FootnoteReference"/>
          <w:rFonts w:ascii="Proxima Nova" w:hAnsi="Proxima Nova"/>
          <w:sz w:val="16"/>
          <w:szCs w:val="16"/>
        </w:rPr>
        <w:footnoteRef/>
      </w:r>
      <w:r w:rsidRPr="009A7D11">
        <w:rPr>
          <w:rFonts w:ascii="Proxima Nova" w:hAnsi="Proxima Nova"/>
          <w:sz w:val="16"/>
          <w:szCs w:val="16"/>
        </w:rPr>
        <w:t xml:space="preserve"> There are six National Women’s Alliances (NWA’s) funded by the Funded by the Office for Women (OFW) in Australia. WWDA is the NWA for women with disability &lt;</w:t>
      </w:r>
      <w:hyperlink r:id="rId1" w:history="1">
        <w:r w:rsidRPr="009A7D11">
          <w:rPr>
            <w:rStyle w:val="Hyperlink"/>
            <w:rFonts w:ascii="Proxima Nova" w:hAnsi="Proxima Nova"/>
            <w:sz w:val="16"/>
            <w:szCs w:val="16"/>
          </w:rPr>
          <w:t>https://www.pmc.gov.au/office-women/grants-and-funding/national-womens-alliances</w:t>
        </w:r>
      </w:hyperlink>
      <w:r w:rsidRPr="009A7D11">
        <w:rPr>
          <w:rFonts w:ascii="Proxima Nova" w:hAnsi="Proxima Nova"/>
          <w:sz w:val="16"/>
          <w:szCs w:val="16"/>
        </w:rPr>
        <w:t>&gt;.</w:t>
      </w:r>
      <w:r w:rsidRPr="00673925">
        <w:rPr>
          <w:rFonts w:ascii="Proxima Nova" w:hAnsi="Proxima Nova"/>
          <w:sz w:val="18"/>
          <w:szCs w:val="18"/>
        </w:rPr>
        <w:t xml:space="preserve"> </w:t>
      </w:r>
    </w:p>
  </w:footnote>
  <w:footnote w:id="3">
    <w:p w14:paraId="3A87F707" w14:textId="372FE45D" w:rsidR="001E6FE0" w:rsidRPr="009A7D11" w:rsidRDefault="001E6FE0">
      <w:pPr>
        <w:pStyle w:val="FootnoteText"/>
        <w:rPr>
          <w:rFonts w:ascii="Proxima Nova" w:hAnsi="Proxima Nova"/>
          <w:sz w:val="16"/>
          <w:szCs w:val="16"/>
        </w:rPr>
      </w:pPr>
      <w:r w:rsidRPr="009A7D11">
        <w:rPr>
          <w:rStyle w:val="FootnoteReference"/>
          <w:rFonts w:ascii="Proxima Nova" w:hAnsi="Proxima Nova"/>
          <w:sz w:val="16"/>
          <w:szCs w:val="16"/>
        </w:rPr>
        <w:footnoteRef/>
      </w:r>
      <w:r w:rsidRPr="009A7D11">
        <w:rPr>
          <w:rFonts w:ascii="Proxima Nova" w:hAnsi="Proxima Nova"/>
          <w:sz w:val="16"/>
          <w:szCs w:val="16"/>
        </w:rPr>
        <w:t xml:space="preserve"> </w:t>
      </w:r>
      <w:proofErr w:type="gramStart"/>
      <w:r w:rsidR="002E2ECD" w:rsidRPr="009A7D11">
        <w:rPr>
          <w:rFonts w:ascii="Proxima Nova" w:hAnsi="Proxima Nova"/>
          <w:sz w:val="16"/>
          <w:szCs w:val="16"/>
        </w:rPr>
        <w:t>E.g.</w:t>
      </w:r>
      <w:proofErr w:type="gramEnd"/>
      <w:r w:rsidR="002E2ECD" w:rsidRPr="009A7D11">
        <w:rPr>
          <w:rFonts w:ascii="Proxima Nova" w:hAnsi="Proxima Nova"/>
          <w:sz w:val="16"/>
          <w:szCs w:val="16"/>
        </w:rPr>
        <w:t xml:space="preserve"> </w:t>
      </w:r>
      <w:r w:rsidR="002E2ECD" w:rsidRPr="009A7D11">
        <w:rPr>
          <w:rFonts w:ascii="Proxima Nova" w:hAnsi="Proxima Nova"/>
          <w:sz w:val="16"/>
          <w:szCs w:val="16"/>
          <w:lang w:val="en-GB"/>
        </w:rPr>
        <w:t>New South Wales Law Reform Commission, Consent in Relation to Sexual Offences (Report No 148, September 2020) 29</w:t>
      </w:r>
    </w:p>
  </w:footnote>
  <w:footnote w:id="4">
    <w:p w14:paraId="09A9AB2E" w14:textId="14F522E3" w:rsidR="009A10BC" w:rsidRPr="00673925" w:rsidRDefault="009A10BC">
      <w:pPr>
        <w:pStyle w:val="FootnoteText"/>
        <w:rPr>
          <w:rFonts w:ascii="Proxima Nova" w:hAnsi="Proxima Nova"/>
          <w:sz w:val="18"/>
          <w:szCs w:val="18"/>
        </w:rPr>
      </w:pPr>
      <w:r w:rsidRPr="009A7D11">
        <w:rPr>
          <w:rStyle w:val="FootnoteReference"/>
          <w:rFonts w:ascii="Proxima Nova" w:hAnsi="Proxima Nova"/>
          <w:sz w:val="16"/>
          <w:szCs w:val="16"/>
        </w:rPr>
        <w:footnoteRef/>
      </w:r>
      <w:r w:rsidRPr="009A7D11">
        <w:rPr>
          <w:rFonts w:ascii="Proxima Nova" w:hAnsi="Proxima Nova"/>
          <w:sz w:val="16"/>
          <w:szCs w:val="16"/>
        </w:rPr>
        <w:t xml:space="preserve"> </w:t>
      </w:r>
      <w:r w:rsidR="002E2ECD" w:rsidRPr="009A7D11">
        <w:rPr>
          <w:rFonts w:ascii="Proxima Nova" w:hAnsi="Proxima Nova"/>
          <w:sz w:val="16"/>
          <w:szCs w:val="16"/>
        </w:rPr>
        <w:t xml:space="preserve">Australian Government (2022) ‘The National Plan to End Violence against Women and Children 2022-2032.’ </w:t>
      </w:r>
      <w:hyperlink r:id="rId2" w:history="1">
        <w:r w:rsidR="002E2ECD" w:rsidRPr="009A7D11">
          <w:rPr>
            <w:rStyle w:val="Hyperlink"/>
            <w:rFonts w:ascii="Proxima Nova" w:hAnsi="Proxima Nova"/>
            <w:sz w:val="16"/>
            <w:szCs w:val="16"/>
          </w:rPr>
          <w:t>https://www.dss.gov.au/ending-violence</w:t>
        </w:r>
      </w:hyperlink>
    </w:p>
  </w:footnote>
  <w:footnote w:id="5">
    <w:p w14:paraId="75678CCD" w14:textId="6992C366" w:rsidR="009A10BC" w:rsidRPr="009A7D11" w:rsidRDefault="009A10BC">
      <w:pPr>
        <w:pStyle w:val="FootnoteText"/>
        <w:rPr>
          <w:rFonts w:ascii="Proxima Nova" w:hAnsi="Proxima Nova"/>
          <w:sz w:val="16"/>
          <w:szCs w:val="16"/>
        </w:rPr>
      </w:pPr>
      <w:r w:rsidRPr="009A7D11">
        <w:rPr>
          <w:rStyle w:val="FootnoteReference"/>
          <w:rFonts w:ascii="Proxima Nova" w:hAnsi="Proxima Nova"/>
          <w:sz w:val="16"/>
          <w:szCs w:val="16"/>
        </w:rPr>
        <w:footnoteRef/>
      </w:r>
      <w:r w:rsidRPr="009A7D11">
        <w:rPr>
          <w:rFonts w:ascii="Proxima Nova" w:hAnsi="Proxima Nova"/>
          <w:sz w:val="16"/>
          <w:szCs w:val="16"/>
        </w:rPr>
        <w:t xml:space="preserve"> Commonwealth of Australia (2019) Fourth Action Plan—National Plan to Reduce Violence against Women and their Children 2010–2022, Commonwealth of Australia, Department of Human Services, Canberra, ACT.</w:t>
      </w:r>
    </w:p>
  </w:footnote>
  <w:footnote w:id="6">
    <w:p w14:paraId="21174413" w14:textId="4321619C" w:rsidR="002E2ECD" w:rsidRPr="009A7D11" w:rsidRDefault="00637D89" w:rsidP="002E2ECD">
      <w:pPr>
        <w:pStyle w:val="FootnoteText"/>
        <w:rPr>
          <w:rFonts w:ascii="Proxima Nova" w:hAnsi="Proxima Nova"/>
          <w:sz w:val="16"/>
          <w:szCs w:val="16"/>
        </w:rPr>
      </w:pPr>
      <w:r w:rsidRPr="009A7D11">
        <w:rPr>
          <w:rStyle w:val="FootnoteReference"/>
          <w:rFonts w:ascii="Proxima Nova" w:hAnsi="Proxima Nova"/>
          <w:sz w:val="16"/>
          <w:szCs w:val="16"/>
        </w:rPr>
        <w:footnoteRef/>
      </w:r>
      <w:r w:rsidRPr="009A7D11">
        <w:rPr>
          <w:rFonts w:ascii="Proxima Nova" w:hAnsi="Proxima Nova"/>
          <w:sz w:val="16"/>
          <w:szCs w:val="16"/>
        </w:rPr>
        <w:t xml:space="preserve"> E.g.</w:t>
      </w:r>
      <w:r w:rsidR="002E2ECD" w:rsidRPr="009A7D11">
        <w:rPr>
          <w:rFonts w:ascii="Proxima Nova" w:hAnsi="Proxima Nova"/>
          <w:sz w:val="16"/>
          <w:szCs w:val="16"/>
        </w:rPr>
        <w:t xml:space="preserve"> Skye Rose, Sophie Cusworth &amp; Laura Hook (2022) ‘</w:t>
      </w:r>
      <w:hyperlink r:id="rId3" w:anchor=":~:text=The%20'affirmative%20consent%20model'%20places,other%20person%20to%20provide%20consent" w:history="1">
        <w:r w:rsidR="002E2ECD" w:rsidRPr="009A7D11">
          <w:rPr>
            <w:rStyle w:val="Hyperlink"/>
            <w:rFonts w:ascii="Proxima Nova" w:hAnsi="Proxima Nova"/>
            <w:sz w:val="16"/>
            <w:szCs w:val="16"/>
          </w:rPr>
          <w:t>A change in consent laws: The adoption of an affirmative consent model in Victoria,</w:t>
        </w:r>
      </w:hyperlink>
      <w:r w:rsidR="002E2ECD" w:rsidRPr="009A7D11">
        <w:rPr>
          <w:rFonts w:ascii="Proxima Nova" w:hAnsi="Proxima Nova"/>
          <w:sz w:val="16"/>
          <w:szCs w:val="16"/>
        </w:rPr>
        <w:t xml:space="preserve">’ </w:t>
      </w:r>
      <w:proofErr w:type="spellStart"/>
      <w:r w:rsidR="002E2ECD" w:rsidRPr="009A7D11">
        <w:rPr>
          <w:rFonts w:ascii="Proxima Nova" w:hAnsi="Proxima Nova"/>
          <w:sz w:val="16"/>
          <w:szCs w:val="16"/>
        </w:rPr>
        <w:t>Moores</w:t>
      </w:r>
      <w:proofErr w:type="spellEnd"/>
      <w:r w:rsidR="002E2ECD" w:rsidRPr="009A7D11">
        <w:rPr>
          <w:rFonts w:ascii="Proxima Nova" w:hAnsi="Proxima Nova"/>
          <w:sz w:val="16"/>
          <w:szCs w:val="16"/>
        </w:rPr>
        <w:t xml:space="preserve">, Victoria; Pillar, J (2022) </w:t>
      </w:r>
      <w:hyperlink r:id="rId4" w:history="1">
        <w:r w:rsidR="002E2ECD" w:rsidRPr="009A7D11">
          <w:rPr>
            <w:rStyle w:val="Hyperlink"/>
            <w:rFonts w:ascii="Proxima Nova" w:hAnsi="Proxima Nova"/>
            <w:sz w:val="16"/>
            <w:szCs w:val="16"/>
          </w:rPr>
          <w:t>‘Guide To The New Affirmative Consent Laws In Australia,</w:t>
        </w:r>
      </w:hyperlink>
      <w:r w:rsidR="002E2ECD" w:rsidRPr="009A7D11">
        <w:rPr>
          <w:rFonts w:ascii="Proxima Nova" w:hAnsi="Proxima Nova"/>
          <w:sz w:val="16"/>
          <w:szCs w:val="16"/>
        </w:rPr>
        <w:t>’ 01 September 2022, Elle Australia.</w:t>
      </w:r>
    </w:p>
    <w:p w14:paraId="0C2A0AC3" w14:textId="77777777" w:rsidR="00637D89" w:rsidRDefault="00637D89">
      <w:pPr>
        <w:pStyle w:val="FootnoteText"/>
      </w:pPr>
    </w:p>
  </w:footnote>
  <w:footnote w:id="7">
    <w:p w14:paraId="1BD5D27E" w14:textId="5F2725EF" w:rsidR="00211395" w:rsidRPr="009A7D11" w:rsidRDefault="00211395">
      <w:pPr>
        <w:pStyle w:val="FootnoteText"/>
        <w:rPr>
          <w:rFonts w:ascii="Proxima Nova" w:hAnsi="Proxima Nova"/>
          <w:sz w:val="16"/>
          <w:szCs w:val="16"/>
        </w:rPr>
      </w:pPr>
      <w:r w:rsidRPr="009A7D11">
        <w:rPr>
          <w:rStyle w:val="FootnoteReference"/>
          <w:rFonts w:ascii="Proxima Nova" w:hAnsi="Proxima Nova"/>
          <w:sz w:val="16"/>
          <w:szCs w:val="16"/>
        </w:rPr>
        <w:footnoteRef/>
      </w:r>
      <w:r w:rsidRPr="009A7D11">
        <w:rPr>
          <w:rFonts w:ascii="Proxima Nova" w:hAnsi="Proxima Nova"/>
          <w:sz w:val="16"/>
          <w:szCs w:val="16"/>
        </w:rPr>
        <w:t xml:space="preserve"> Women With Disabilities Australia (2016) ‘</w:t>
      </w:r>
      <w:hyperlink r:id="rId5" w:history="1">
        <w:r w:rsidRPr="009A7D11">
          <w:rPr>
            <w:rStyle w:val="Hyperlink"/>
            <w:rFonts w:ascii="Proxima Nova" w:hAnsi="Proxima Nova"/>
            <w:sz w:val="16"/>
            <w:szCs w:val="16"/>
          </w:rPr>
          <w:t>WWDA Position Statement 4: Sexual and Reproductive Rights</w:t>
        </w:r>
      </w:hyperlink>
      <w:r w:rsidRPr="009A7D11">
        <w:rPr>
          <w:rFonts w:ascii="Proxima Nova" w:hAnsi="Proxima Nova"/>
          <w:sz w:val="16"/>
          <w:szCs w:val="16"/>
        </w:rPr>
        <w:t>,’ WWDA, Hobart, Tasmania, p.8</w:t>
      </w:r>
    </w:p>
  </w:footnote>
  <w:footnote w:id="8">
    <w:p w14:paraId="19639467" w14:textId="72FFBE52" w:rsidR="00211395" w:rsidRPr="009A7D11" w:rsidRDefault="00211395">
      <w:pPr>
        <w:pStyle w:val="FootnoteText"/>
        <w:rPr>
          <w:rFonts w:ascii="Proxima Nova" w:hAnsi="Proxima Nova"/>
          <w:sz w:val="16"/>
          <w:szCs w:val="16"/>
        </w:rPr>
      </w:pPr>
      <w:r w:rsidRPr="009A7D11">
        <w:rPr>
          <w:rStyle w:val="FootnoteReference"/>
          <w:rFonts w:ascii="Proxima Nova" w:hAnsi="Proxima Nova"/>
          <w:sz w:val="16"/>
          <w:szCs w:val="16"/>
        </w:rPr>
        <w:footnoteRef/>
      </w:r>
      <w:r w:rsidRPr="009A7D11">
        <w:rPr>
          <w:rFonts w:ascii="Proxima Nova" w:hAnsi="Proxima Nova"/>
          <w:sz w:val="16"/>
          <w:szCs w:val="16"/>
        </w:rPr>
        <w:t xml:space="preserve"> Women With Disabilities Australia (2016) ‘</w:t>
      </w:r>
      <w:hyperlink r:id="rId6" w:history="1">
        <w:r w:rsidRPr="009A7D11">
          <w:rPr>
            <w:rStyle w:val="Hyperlink"/>
            <w:rFonts w:ascii="Proxima Nova" w:hAnsi="Proxima Nova"/>
            <w:sz w:val="16"/>
            <w:szCs w:val="16"/>
          </w:rPr>
          <w:t>WWDA Position Statement 4: Sexual and Reproductive Rights</w:t>
        </w:r>
      </w:hyperlink>
      <w:r w:rsidRPr="009A7D11">
        <w:rPr>
          <w:rFonts w:ascii="Proxima Nova" w:hAnsi="Proxima Nova"/>
          <w:sz w:val="16"/>
          <w:szCs w:val="16"/>
        </w:rPr>
        <w:t>,’ WWDA, Hobart, Tasmania, p.8</w:t>
      </w:r>
    </w:p>
  </w:footnote>
  <w:footnote w:id="9">
    <w:p w14:paraId="36A84829" w14:textId="7FEA27D3" w:rsidR="00D97E15" w:rsidRPr="009A7D11" w:rsidRDefault="00D97E15" w:rsidP="00D97E15">
      <w:pPr>
        <w:pStyle w:val="FootnoteText"/>
        <w:rPr>
          <w:rFonts w:ascii="Proxima Nova" w:hAnsi="Proxima Nova"/>
          <w:sz w:val="16"/>
          <w:szCs w:val="16"/>
          <w:lang w:val="en-GB"/>
        </w:rPr>
      </w:pPr>
      <w:r w:rsidRPr="009A7D11">
        <w:rPr>
          <w:rStyle w:val="FootnoteReference"/>
          <w:rFonts w:ascii="Proxima Nova" w:hAnsi="Proxima Nova"/>
          <w:sz w:val="16"/>
          <w:szCs w:val="16"/>
        </w:rPr>
        <w:footnoteRef/>
      </w:r>
      <w:r w:rsidRPr="009A7D11">
        <w:rPr>
          <w:rFonts w:ascii="Proxima Nova" w:hAnsi="Proxima Nova"/>
          <w:sz w:val="16"/>
          <w:szCs w:val="16"/>
        </w:rPr>
        <w:t xml:space="preserve"> </w:t>
      </w:r>
      <w:r w:rsidRPr="009A7D11">
        <w:rPr>
          <w:rFonts w:ascii="Proxima Nova" w:hAnsi="Proxima Nova"/>
          <w:sz w:val="16"/>
          <w:szCs w:val="16"/>
          <w:lang w:val="en-GB"/>
        </w:rPr>
        <w:t xml:space="preserve">Illawarra Women’s Health Centre (2017) </w:t>
      </w:r>
      <w:hyperlink r:id="rId7" w:history="1">
        <w:r w:rsidRPr="009A7D11">
          <w:rPr>
            <w:rStyle w:val="Hyperlink"/>
            <w:rFonts w:ascii="Proxima Nova" w:hAnsi="Proxima Nova"/>
            <w:sz w:val="16"/>
            <w:szCs w:val="16"/>
            <w:lang w:val="en-GB"/>
          </w:rPr>
          <w:t>Breaking the Silence: Domestic Violence and Women with Intellectual Disabilities</w:t>
        </w:r>
      </w:hyperlink>
      <w:r w:rsidRPr="009A7D11">
        <w:rPr>
          <w:rFonts w:ascii="Proxima Nova" w:hAnsi="Proxima Nova"/>
          <w:sz w:val="16"/>
          <w:szCs w:val="16"/>
          <w:lang w:val="en-GB"/>
        </w:rPr>
        <w:t xml:space="preserve">, Report. </w:t>
      </w:r>
    </w:p>
  </w:footnote>
  <w:footnote w:id="10">
    <w:p w14:paraId="160E1347" w14:textId="2B2A20A0" w:rsidR="00D97E15" w:rsidRDefault="00D97E15">
      <w:pPr>
        <w:pStyle w:val="FootnoteText"/>
      </w:pPr>
    </w:p>
  </w:footnote>
  <w:footnote w:id="11">
    <w:p w14:paraId="4E7F9FE8" w14:textId="0A05E476" w:rsidR="00BA0CC8" w:rsidRPr="009A7D11" w:rsidRDefault="00BA0CC8">
      <w:pPr>
        <w:pStyle w:val="FootnoteText"/>
        <w:rPr>
          <w:rFonts w:ascii="Proxima Nova" w:hAnsi="Proxima Nova"/>
          <w:sz w:val="16"/>
          <w:szCs w:val="16"/>
        </w:rPr>
      </w:pPr>
      <w:r w:rsidRPr="009A7D11">
        <w:rPr>
          <w:rStyle w:val="FootnoteReference"/>
          <w:rFonts w:ascii="Proxima Nova" w:hAnsi="Proxima Nova"/>
          <w:sz w:val="16"/>
          <w:szCs w:val="16"/>
        </w:rPr>
        <w:footnoteRef/>
      </w:r>
      <w:r w:rsidRPr="009A7D11">
        <w:rPr>
          <w:rFonts w:ascii="Proxima Nova" w:hAnsi="Proxima Nova"/>
          <w:sz w:val="16"/>
          <w:szCs w:val="16"/>
        </w:rPr>
        <w:t xml:space="preserve"> </w:t>
      </w:r>
      <w:r w:rsidR="000976F1" w:rsidRPr="009A7D11">
        <w:rPr>
          <w:rFonts w:ascii="Proxima Nova" w:hAnsi="Proxima Nova"/>
          <w:sz w:val="16"/>
          <w:szCs w:val="16"/>
        </w:rPr>
        <w:t>Women With Disabilities Australia (WWDA) (2022). ‘Towards Reproductive Justice for young women, girls, feminine identifying, and non-binary people with disability (</w:t>
      </w:r>
      <w:proofErr w:type="spellStart"/>
      <w:r w:rsidR="000976F1" w:rsidRPr="009A7D11">
        <w:rPr>
          <w:rFonts w:ascii="Proxima Nova" w:hAnsi="Proxima Nova"/>
          <w:sz w:val="16"/>
          <w:szCs w:val="16"/>
        </w:rPr>
        <w:t>YWGwD</w:t>
      </w:r>
      <w:proofErr w:type="spellEnd"/>
      <w:r w:rsidR="000976F1" w:rsidRPr="009A7D11">
        <w:rPr>
          <w:rFonts w:ascii="Proxima Nova" w:hAnsi="Proxima Nova"/>
          <w:sz w:val="16"/>
          <w:szCs w:val="16"/>
        </w:rPr>
        <w:t xml:space="preserve">): Report from the </w:t>
      </w:r>
      <w:proofErr w:type="spellStart"/>
      <w:r w:rsidR="000976F1" w:rsidRPr="009A7D11">
        <w:rPr>
          <w:rFonts w:ascii="Proxima Nova" w:hAnsi="Proxima Nova"/>
          <w:sz w:val="16"/>
          <w:szCs w:val="16"/>
        </w:rPr>
        <w:t>YWGwD</w:t>
      </w:r>
      <w:proofErr w:type="spellEnd"/>
      <w:r w:rsidR="000976F1" w:rsidRPr="009A7D11">
        <w:rPr>
          <w:rFonts w:ascii="Proxima Nova" w:hAnsi="Proxima Nova"/>
          <w:sz w:val="16"/>
          <w:szCs w:val="16"/>
        </w:rPr>
        <w:t xml:space="preserve"> National Survey.’ Published November 2022. WWDA: Hobart, Tasmania, p. 15.</w:t>
      </w:r>
    </w:p>
  </w:footnote>
  <w:footnote w:id="12">
    <w:p w14:paraId="3E3C0EBE" w14:textId="4F06AB8C" w:rsidR="00190FEA" w:rsidRPr="009A7D11" w:rsidRDefault="00190FEA">
      <w:pPr>
        <w:pStyle w:val="FootnoteText"/>
        <w:rPr>
          <w:rFonts w:ascii="Proxima Nova" w:hAnsi="Proxima Nova"/>
          <w:sz w:val="16"/>
          <w:szCs w:val="16"/>
        </w:rPr>
      </w:pPr>
      <w:r w:rsidRPr="009A7D11">
        <w:rPr>
          <w:rStyle w:val="FootnoteReference"/>
          <w:rFonts w:ascii="Proxima Nova" w:hAnsi="Proxima Nova"/>
          <w:sz w:val="16"/>
          <w:szCs w:val="16"/>
        </w:rPr>
        <w:footnoteRef/>
      </w:r>
      <w:r w:rsidRPr="009A7D11">
        <w:rPr>
          <w:rFonts w:ascii="Proxima Nova" w:hAnsi="Proxima Nova"/>
          <w:sz w:val="16"/>
          <w:szCs w:val="16"/>
        </w:rPr>
        <w:t xml:space="preserve"> Women With Disabilities Australia (WWDA) (2022). ‘Towards Reproductive Justice for young women, girls, feminine identifying, and non-binary people with disability (</w:t>
      </w:r>
      <w:proofErr w:type="spellStart"/>
      <w:r w:rsidRPr="009A7D11">
        <w:rPr>
          <w:rFonts w:ascii="Proxima Nova" w:hAnsi="Proxima Nova"/>
          <w:sz w:val="16"/>
          <w:szCs w:val="16"/>
        </w:rPr>
        <w:t>YWGwD</w:t>
      </w:r>
      <w:proofErr w:type="spellEnd"/>
      <w:r w:rsidRPr="009A7D11">
        <w:rPr>
          <w:rFonts w:ascii="Proxima Nova" w:hAnsi="Proxima Nova"/>
          <w:sz w:val="16"/>
          <w:szCs w:val="16"/>
        </w:rPr>
        <w:t xml:space="preserve">): Report from the </w:t>
      </w:r>
      <w:proofErr w:type="spellStart"/>
      <w:r w:rsidRPr="009A7D11">
        <w:rPr>
          <w:rFonts w:ascii="Proxima Nova" w:hAnsi="Proxima Nova"/>
          <w:sz w:val="16"/>
          <w:szCs w:val="16"/>
        </w:rPr>
        <w:t>YWGwD</w:t>
      </w:r>
      <w:proofErr w:type="spellEnd"/>
      <w:r w:rsidRPr="009A7D11">
        <w:rPr>
          <w:rFonts w:ascii="Proxima Nova" w:hAnsi="Proxima Nova"/>
          <w:sz w:val="16"/>
          <w:szCs w:val="16"/>
        </w:rPr>
        <w:t xml:space="preserve"> National Survey.’ Published November 2022. WWDA: Hobart, Tasmania</w:t>
      </w:r>
      <w:r w:rsidR="000976F1" w:rsidRPr="009A7D11">
        <w:rPr>
          <w:rFonts w:ascii="Proxima Nova" w:hAnsi="Proxima Nova"/>
          <w:sz w:val="16"/>
          <w:szCs w:val="16"/>
        </w:rPr>
        <w:t xml:space="preserve">, p. 15.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BC2F7" w14:textId="547327EA" w:rsidR="009A7D11" w:rsidRDefault="009A7D11">
    <w:pPr>
      <w:pStyle w:val="Header"/>
    </w:pPr>
    <w:r>
      <w:rPr>
        <w:noProof/>
      </w:rPr>
      <w:drawing>
        <wp:anchor distT="0" distB="0" distL="114300" distR="114300" simplePos="0" relativeHeight="251665408" behindDoc="1" locked="0" layoutInCell="1" allowOverlap="1" wp14:anchorId="60CF1FF6" wp14:editId="0D9EAE03">
          <wp:simplePos x="0" y="0"/>
          <wp:positionH relativeFrom="column">
            <wp:posOffset>-905510</wp:posOffset>
          </wp:positionH>
          <wp:positionV relativeFrom="paragraph">
            <wp:posOffset>-2168102</wp:posOffset>
          </wp:positionV>
          <wp:extent cx="7581900" cy="3270885"/>
          <wp:effectExtent l="0" t="0" r="0" b="5715"/>
          <wp:wrapTight wrapText="bothSides">
            <wp:wrapPolygon edited="0">
              <wp:start x="0" y="0"/>
              <wp:lineTo x="0" y="15348"/>
              <wp:lineTo x="9914" y="16103"/>
              <wp:lineTo x="9914" y="16186"/>
              <wp:lineTo x="21238" y="21554"/>
              <wp:lineTo x="21347" y="21554"/>
              <wp:lineTo x="21564" y="21554"/>
              <wp:lineTo x="21564" y="0"/>
              <wp:lineTo x="0" y="0"/>
            </wp:wrapPolygon>
          </wp:wrapTight>
          <wp:docPr id="2" name="Picture 2"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omputer&#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81900" cy="327088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910F8" w14:textId="413C9CD1" w:rsidR="009A7D11" w:rsidRDefault="009A7D11">
    <w:pPr>
      <w:pStyle w:val="Header"/>
    </w:pPr>
    <w:r>
      <w:rPr>
        <w:noProof/>
      </w:rPr>
      <w:drawing>
        <wp:anchor distT="0" distB="0" distL="114300" distR="114300" simplePos="0" relativeHeight="251659264" behindDoc="1" locked="0" layoutInCell="1" allowOverlap="1" wp14:anchorId="4D58D12C" wp14:editId="5629A560">
          <wp:simplePos x="0" y="0"/>
          <wp:positionH relativeFrom="column">
            <wp:posOffset>-922866</wp:posOffset>
          </wp:positionH>
          <wp:positionV relativeFrom="paragraph">
            <wp:posOffset>-449580</wp:posOffset>
          </wp:positionV>
          <wp:extent cx="7581900" cy="3270885"/>
          <wp:effectExtent l="0" t="0" r="0" b="5715"/>
          <wp:wrapTight wrapText="bothSides">
            <wp:wrapPolygon edited="0">
              <wp:start x="0" y="0"/>
              <wp:lineTo x="0" y="15348"/>
              <wp:lineTo x="9914" y="16103"/>
              <wp:lineTo x="9914" y="16186"/>
              <wp:lineTo x="21238" y="21554"/>
              <wp:lineTo x="21347" y="21554"/>
              <wp:lineTo x="21564" y="21554"/>
              <wp:lineTo x="21564" y="0"/>
              <wp:lineTo x="0" y="0"/>
            </wp:wrapPolygon>
          </wp:wrapTight>
          <wp:docPr id="5" name="Picture 5"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omputer&#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81900" cy="32708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55E2938"/>
    <w:multiLevelType w:val="multilevel"/>
    <w:tmpl w:val="27483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7F42F3"/>
    <w:multiLevelType w:val="hybridMultilevel"/>
    <w:tmpl w:val="A27CD7C0"/>
    <w:lvl w:ilvl="0" w:tplc="FFFFFFFF">
      <w:start w:val="1"/>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8C4021"/>
    <w:multiLevelType w:val="multilevel"/>
    <w:tmpl w:val="CB54F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D370149"/>
    <w:multiLevelType w:val="multilevel"/>
    <w:tmpl w:val="F3965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DEC7FBC"/>
    <w:multiLevelType w:val="hybridMultilevel"/>
    <w:tmpl w:val="767AA8EE"/>
    <w:lvl w:ilvl="0" w:tplc="538EC40C">
      <w:start w:val="1"/>
      <w:numFmt w:val="decimal"/>
      <w:lvlText w:val="%1."/>
      <w:lvlJc w:val="left"/>
      <w:pPr>
        <w:ind w:left="720" w:hanging="360"/>
      </w:pPr>
      <w:rPr>
        <w:rFonts w:hint="default"/>
        <w:b w:val="0"/>
        <w:bCs/>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534F4A"/>
    <w:multiLevelType w:val="multilevel"/>
    <w:tmpl w:val="31BA0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63118DF"/>
    <w:multiLevelType w:val="hybridMultilevel"/>
    <w:tmpl w:val="F5C8C530"/>
    <w:lvl w:ilvl="0" w:tplc="7F2E885E">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59595329">
    <w:abstractNumId w:val="9"/>
  </w:num>
  <w:num w:numId="2" w16cid:durableId="2109688900">
    <w:abstractNumId w:val="7"/>
  </w:num>
  <w:num w:numId="3" w16cid:durableId="1873885924">
    <w:abstractNumId w:val="4"/>
  </w:num>
  <w:num w:numId="4" w16cid:durableId="1619099519">
    <w:abstractNumId w:val="6"/>
  </w:num>
  <w:num w:numId="5" w16cid:durableId="1435903497">
    <w:abstractNumId w:val="0"/>
  </w:num>
  <w:num w:numId="6" w16cid:durableId="1457259101">
    <w:abstractNumId w:val="1"/>
  </w:num>
  <w:num w:numId="7" w16cid:durableId="1787000218">
    <w:abstractNumId w:val="2"/>
  </w:num>
  <w:num w:numId="8" w16cid:durableId="1796438749">
    <w:abstractNumId w:val="3"/>
  </w:num>
  <w:num w:numId="9" w16cid:durableId="1913153884">
    <w:abstractNumId w:val="8"/>
  </w:num>
  <w:num w:numId="10" w16cid:durableId="34697742">
    <w:abstractNumId w:val="5"/>
  </w:num>
  <w:num w:numId="11" w16cid:durableId="10916988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FE0"/>
    <w:rsid w:val="00046A14"/>
    <w:rsid w:val="000976F1"/>
    <w:rsid w:val="000E1AF4"/>
    <w:rsid w:val="00190890"/>
    <w:rsid w:val="00190FEA"/>
    <w:rsid w:val="001D6494"/>
    <w:rsid w:val="001E6FE0"/>
    <w:rsid w:val="00211395"/>
    <w:rsid w:val="00216179"/>
    <w:rsid w:val="002462FB"/>
    <w:rsid w:val="00262521"/>
    <w:rsid w:val="002E2ECD"/>
    <w:rsid w:val="00346FBC"/>
    <w:rsid w:val="003C2CB0"/>
    <w:rsid w:val="003F4B6D"/>
    <w:rsid w:val="00403E1E"/>
    <w:rsid w:val="004D7AB0"/>
    <w:rsid w:val="00540AC1"/>
    <w:rsid w:val="00637D89"/>
    <w:rsid w:val="006469E8"/>
    <w:rsid w:val="00673925"/>
    <w:rsid w:val="006A644F"/>
    <w:rsid w:val="00717F50"/>
    <w:rsid w:val="00823664"/>
    <w:rsid w:val="00875084"/>
    <w:rsid w:val="0089552D"/>
    <w:rsid w:val="009A10BC"/>
    <w:rsid w:val="009A7D11"/>
    <w:rsid w:val="00A91EBA"/>
    <w:rsid w:val="00BA0CC8"/>
    <w:rsid w:val="00BF52CD"/>
    <w:rsid w:val="00C41832"/>
    <w:rsid w:val="00D13F76"/>
    <w:rsid w:val="00D40CFC"/>
    <w:rsid w:val="00D97E15"/>
    <w:rsid w:val="00DE668D"/>
    <w:rsid w:val="00E40574"/>
    <w:rsid w:val="00EA05FF"/>
    <w:rsid w:val="00F450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182CCC2A"/>
  <w15:chartTrackingRefBased/>
  <w15:docId w15:val="{D2699011-CFE4-6441-8909-AE1E78450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2EC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6FE0"/>
    <w:rPr>
      <w:color w:val="0000FF"/>
      <w:u w:val="single"/>
    </w:rPr>
  </w:style>
  <w:style w:type="character" w:styleId="UnresolvedMention">
    <w:name w:val="Unresolved Mention"/>
    <w:basedOn w:val="DefaultParagraphFont"/>
    <w:uiPriority w:val="99"/>
    <w:semiHidden/>
    <w:unhideWhenUsed/>
    <w:rsid w:val="001E6FE0"/>
    <w:rPr>
      <w:color w:val="605E5C"/>
      <w:shd w:val="clear" w:color="auto" w:fill="E1DFDD"/>
    </w:rPr>
  </w:style>
  <w:style w:type="paragraph" w:styleId="FootnoteText">
    <w:name w:val="footnote text"/>
    <w:basedOn w:val="Normal"/>
    <w:link w:val="FootnoteTextChar"/>
    <w:uiPriority w:val="99"/>
    <w:semiHidden/>
    <w:unhideWhenUsed/>
    <w:rsid w:val="001E6FE0"/>
    <w:rPr>
      <w:sz w:val="20"/>
      <w:szCs w:val="20"/>
    </w:rPr>
  </w:style>
  <w:style w:type="character" w:customStyle="1" w:styleId="FootnoteTextChar">
    <w:name w:val="Footnote Text Char"/>
    <w:basedOn w:val="DefaultParagraphFont"/>
    <w:link w:val="FootnoteText"/>
    <w:uiPriority w:val="99"/>
    <w:semiHidden/>
    <w:rsid w:val="001E6FE0"/>
    <w:rPr>
      <w:sz w:val="20"/>
      <w:szCs w:val="20"/>
    </w:rPr>
  </w:style>
  <w:style w:type="character" w:styleId="FootnoteReference">
    <w:name w:val="footnote reference"/>
    <w:basedOn w:val="DefaultParagraphFont"/>
    <w:uiPriority w:val="99"/>
    <w:semiHidden/>
    <w:unhideWhenUsed/>
    <w:rsid w:val="001E6FE0"/>
    <w:rPr>
      <w:vertAlign w:val="superscript"/>
    </w:rPr>
  </w:style>
  <w:style w:type="paragraph" w:styleId="NormalWeb">
    <w:name w:val="Normal (Web)"/>
    <w:basedOn w:val="Normal"/>
    <w:uiPriority w:val="99"/>
    <w:semiHidden/>
    <w:unhideWhenUsed/>
    <w:rsid w:val="00637D89"/>
    <w:rPr>
      <w:rFonts w:ascii="Times New Roman" w:hAnsi="Times New Roman" w:cs="Times New Roman"/>
    </w:rPr>
  </w:style>
  <w:style w:type="paragraph" w:styleId="EndnoteText">
    <w:name w:val="endnote text"/>
    <w:basedOn w:val="Normal"/>
    <w:link w:val="EndnoteTextChar"/>
    <w:uiPriority w:val="99"/>
    <w:semiHidden/>
    <w:unhideWhenUsed/>
    <w:rsid w:val="009A10BC"/>
    <w:rPr>
      <w:sz w:val="20"/>
      <w:szCs w:val="20"/>
    </w:rPr>
  </w:style>
  <w:style w:type="character" w:customStyle="1" w:styleId="EndnoteTextChar">
    <w:name w:val="Endnote Text Char"/>
    <w:basedOn w:val="DefaultParagraphFont"/>
    <w:link w:val="EndnoteText"/>
    <w:uiPriority w:val="99"/>
    <w:semiHidden/>
    <w:rsid w:val="009A10BC"/>
    <w:rPr>
      <w:sz w:val="20"/>
      <w:szCs w:val="20"/>
    </w:rPr>
  </w:style>
  <w:style w:type="character" w:styleId="EndnoteReference">
    <w:name w:val="endnote reference"/>
    <w:basedOn w:val="DefaultParagraphFont"/>
    <w:uiPriority w:val="99"/>
    <w:semiHidden/>
    <w:unhideWhenUsed/>
    <w:rsid w:val="009A10BC"/>
    <w:rPr>
      <w:vertAlign w:val="superscript"/>
    </w:rPr>
  </w:style>
  <w:style w:type="paragraph" w:styleId="ListParagraph">
    <w:name w:val="List Paragraph"/>
    <w:basedOn w:val="Normal"/>
    <w:uiPriority w:val="34"/>
    <w:qFormat/>
    <w:rsid w:val="00F450FF"/>
    <w:pPr>
      <w:ind w:left="720"/>
      <w:contextualSpacing/>
    </w:pPr>
  </w:style>
  <w:style w:type="paragraph" w:styleId="Footer">
    <w:name w:val="footer"/>
    <w:basedOn w:val="Normal"/>
    <w:link w:val="FooterChar"/>
    <w:uiPriority w:val="99"/>
    <w:unhideWhenUsed/>
    <w:rsid w:val="00D13F76"/>
    <w:pPr>
      <w:tabs>
        <w:tab w:val="center" w:pos="4513"/>
        <w:tab w:val="right" w:pos="9026"/>
      </w:tabs>
    </w:pPr>
  </w:style>
  <w:style w:type="character" w:customStyle="1" w:styleId="FooterChar">
    <w:name w:val="Footer Char"/>
    <w:basedOn w:val="DefaultParagraphFont"/>
    <w:link w:val="Footer"/>
    <w:uiPriority w:val="99"/>
    <w:rsid w:val="00D13F76"/>
  </w:style>
  <w:style w:type="character" w:styleId="PageNumber">
    <w:name w:val="page number"/>
    <w:basedOn w:val="DefaultParagraphFont"/>
    <w:uiPriority w:val="99"/>
    <w:semiHidden/>
    <w:unhideWhenUsed/>
    <w:rsid w:val="00D13F76"/>
  </w:style>
  <w:style w:type="paragraph" w:styleId="Header">
    <w:name w:val="header"/>
    <w:basedOn w:val="Normal"/>
    <w:link w:val="HeaderChar"/>
    <w:uiPriority w:val="99"/>
    <w:unhideWhenUsed/>
    <w:rsid w:val="00D13F76"/>
    <w:pPr>
      <w:tabs>
        <w:tab w:val="center" w:pos="4513"/>
        <w:tab w:val="right" w:pos="9026"/>
      </w:tabs>
    </w:pPr>
  </w:style>
  <w:style w:type="character" w:customStyle="1" w:styleId="HeaderChar">
    <w:name w:val="Header Char"/>
    <w:basedOn w:val="DefaultParagraphFont"/>
    <w:link w:val="Header"/>
    <w:uiPriority w:val="99"/>
    <w:rsid w:val="00D13F76"/>
  </w:style>
  <w:style w:type="character" w:styleId="FollowedHyperlink">
    <w:name w:val="FollowedHyperlink"/>
    <w:basedOn w:val="DefaultParagraphFont"/>
    <w:uiPriority w:val="99"/>
    <w:semiHidden/>
    <w:unhideWhenUsed/>
    <w:rsid w:val="000976F1"/>
    <w:rPr>
      <w:color w:val="954F72" w:themeColor="followedHyperlink"/>
      <w:u w:val="single"/>
    </w:rPr>
  </w:style>
  <w:style w:type="character" w:customStyle="1" w:styleId="Heading1Char">
    <w:name w:val="Heading 1 Char"/>
    <w:basedOn w:val="DefaultParagraphFont"/>
    <w:link w:val="Heading1"/>
    <w:uiPriority w:val="9"/>
    <w:rsid w:val="002E2EC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61897">
      <w:bodyDiv w:val="1"/>
      <w:marLeft w:val="0"/>
      <w:marRight w:val="0"/>
      <w:marTop w:val="0"/>
      <w:marBottom w:val="0"/>
      <w:divBdr>
        <w:top w:val="none" w:sz="0" w:space="0" w:color="auto"/>
        <w:left w:val="none" w:sz="0" w:space="0" w:color="auto"/>
        <w:bottom w:val="none" w:sz="0" w:space="0" w:color="auto"/>
        <w:right w:val="none" w:sz="0" w:space="0" w:color="auto"/>
      </w:divBdr>
    </w:div>
    <w:div w:id="147946658">
      <w:bodyDiv w:val="1"/>
      <w:marLeft w:val="0"/>
      <w:marRight w:val="0"/>
      <w:marTop w:val="0"/>
      <w:marBottom w:val="0"/>
      <w:divBdr>
        <w:top w:val="none" w:sz="0" w:space="0" w:color="auto"/>
        <w:left w:val="none" w:sz="0" w:space="0" w:color="auto"/>
        <w:bottom w:val="none" w:sz="0" w:space="0" w:color="auto"/>
        <w:right w:val="none" w:sz="0" w:space="0" w:color="auto"/>
      </w:divBdr>
    </w:div>
    <w:div w:id="187842557">
      <w:bodyDiv w:val="1"/>
      <w:marLeft w:val="0"/>
      <w:marRight w:val="0"/>
      <w:marTop w:val="0"/>
      <w:marBottom w:val="0"/>
      <w:divBdr>
        <w:top w:val="none" w:sz="0" w:space="0" w:color="auto"/>
        <w:left w:val="none" w:sz="0" w:space="0" w:color="auto"/>
        <w:bottom w:val="none" w:sz="0" w:space="0" w:color="auto"/>
        <w:right w:val="none" w:sz="0" w:space="0" w:color="auto"/>
      </w:divBdr>
    </w:div>
    <w:div w:id="228813391">
      <w:bodyDiv w:val="1"/>
      <w:marLeft w:val="0"/>
      <w:marRight w:val="0"/>
      <w:marTop w:val="0"/>
      <w:marBottom w:val="0"/>
      <w:divBdr>
        <w:top w:val="none" w:sz="0" w:space="0" w:color="auto"/>
        <w:left w:val="none" w:sz="0" w:space="0" w:color="auto"/>
        <w:bottom w:val="none" w:sz="0" w:space="0" w:color="auto"/>
        <w:right w:val="none" w:sz="0" w:space="0" w:color="auto"/>
      </w:divBdr>
    </w:div>
    <w:div w:id="251473096">
      <w:bodyDiv w:val="1"/>
      <w:marLeft w:val="0"/>
      <w:marRight w:val="0"/>
      <w:marTop w:val="0"/>
      <w:marBottom w:val="0"/>
      <w:divBdr>
        <w:top w:val="none" w:sz="0" w:space="0" w:color="auto"/>
        <w:left w:val="none" w:sz="0" w:space="0" w:color="auto"/>
        <w:bottom w:val="none" w:sz="0" w:space="0" w:color="auto"/>
        <w:right w:val="none" w:sz="0" w:space="0" w:color="auto"/>
      </w:divBdr>
    </w:div>
    <w:div w:id="1184785859">
      <w:bodyDiv w:val="1"/>
      <w:marLeft w:val="0"/>
      <w:marRight w:val="0"/>
      <w:marTop w:val="0"/>
      <w:marBottom w:val="0"/>
      <w:divBdr>
        <w:top w:val="none" w:sz="0" w:space="0" w:color="auto"/>
        <w:left w:val="none" w:sz="0" w:space="0" w:color="auto"/>
        <w:bottom w:val="none" w:sz="0" w:space="0" w:color="auto"/>
        <w:right w:val="none" w:sz="0" w:space="0" w:color="auto"/>
      </w:divBdr>
    </w:div>
    <w:div w:id="1787698780">
      <w:bodyDiv w:val="1"/>
      <w:marLeft w:val="0"/>
      <w:marRight w:val="0"/>
      <w:marTop w:val="0"/>
      <w:marBottom w:val="0"/>
      <w:divBdr>
        <w:top w:val="none" w:sz="0" w:space="0" w:color="auto"/>
        <w:left w:val="none" w:sz="0" w:space="0" w:color="auto"/>
        <w:bottom w:val="none" w:sz="0" w:space="0" w:color="auto"/>
        <w:right w:val="none" w:sz="0" w:space="0" w:color="auto"/>
      </w:divBdr>
    </w:div>
    <w:div w:id="200720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www.moores.com.au/news/a-change-in-consent-laws-the-adoption-of-an-affirmative-consent-model-in-victoria/" TargetMode="External"/><Relationship Id="rId7" Type="http://schemas.openxmlformats.org/officeDocument/2006/relationships/hyperlink" Target="https://womenshealthcentre.com.au/wp-content/uploads/2020/02/Breaking-the-Silence-002-ilovepdf-compressed-2.pdf" TargetMode="External"/><Relationship Id="rId2" Type="http://schemas.openxmlformats.org/officeDocument/2006/relationships/hyperlink" Target="https://www.dss.gov.au/ending-violence" TargetMode="External"/><Relationship Id="rId1" Type="http://schemas.openxmlformats.org/officeDocument/2006/relationships/hyperlink" Target="https://www.pmc.gov.au/office-women/grants-and-funding/national-womens-alliances" TargetMode="External"/><Relationship Id="rId6" Type="http://schemas.openxmlformats.org/officeDocument/2006/relationships/hyperlink" Target="https://wwda.org.au/wp-content/uploads/2020/05/5ea654fbfc3264166cbe2ffe_Position_Statement_4_-_Sexual_and_Reproductive_Rights_FINAL_WEB.pdf" TargetMode="External"/><Relationship Id="rId5" Type="http://schemas.openxmlformats.org/officeDocument/2006/relationships/hyperlink" Target="https://wwda.org.au/wp-content/uploads/2020/05/5ea654fbfc3264166cbe2ffe_Position_Statement_4_-_Sexual_and_Reproductive_Rights_FINAL_WEB.pdf" TargetMode="External"/><Relationship Id="rId4" Type="http://schemas.openxmlformats.org/officeDocument/2006/relationships/hyperlink" Target="https://www.elle.com.au/culture/what-is-affirmative-consent-2694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33788-42FE-AB48-B5BB-15BE4738D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2809</Words>
  <Characters>16017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Women With Disabilities Australia</Company>
  <LinksUpToDate>false</LinksUpToDate>
  <CharactersWithSpaces>18789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La Paglia | Women With Disabilities Australia</dc:creator>
  <cp:keywords/>
  <dc:description/>
  <cp:lastModifiedBy>Heidi La Paglia | Women With Disabilities Australia</cp:lastModifiedBy>
  <cp:revision>3</cp:revision>
  <dcterms:created xsi:type="dcterms:W3CDTF">2023-03-16T04:03:00Z</dcterms:created>
  <dcterms:modified xsi:type="dcterms:W3CDTF">2023-03-16T04:04:00Z</dcterms:modified>
</cp:coreProperties>
</file>