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78F2" w14:textId="13E845B6" w:rsidR="00C20A65" w:rsidRPr="009A7A3C" w:rsidRDefault="00C20A65" w:rsidP="009A7A3C">
      <w:pPr>
        <w:spacing w:after="0" w:line="360" w:lineRule="auto"/>
        <w:rPr>
          <w:rFonts w:ascii="Arial" w:hAnsi="Arial" w:cs="Arial"/>
        </w:rPr>
      </w:pPr>
    </w:p>
    <w:p w14:paraId="43D70CA2" w14:textId="75FF8E3E" w:rsidR="009A7A3C" w:rsidRPr="009A7A3C" w:rsidRDefault="009A7A3C" w:rsidP="009A7A3C">
      <w:pPr>
        <w:spacing w:line="360" w:lineRule="auto"/>
        <w:rPr>
          <w:rFonts w:ascii="Arial" w:hAnsi="Arial" w:cs="Arial"/>
        </w:rPr>
      </w:pPr>
      <w:r w:rsidRPr="00E95C72">
        <w:rPr>
          <w:rFonts w:ascii="Arial" w:hAnsi="Arial" w:cs="Arial"/>
          <w:noProof/>
          <w:sz w:val="24"/>
          <w:szCs w:val="24"/>
        </w:rPr>
        <w:drawing>
          <wp:anchor distT="0" distB="0" distL="114300" distR="114300" simplePos="0" relativeHeight="251661312" behindDoc="1" locked="0" layoutInCell="1" allowOverlap="1" wp14:anchorId="770534A4" wp14:editId="11BD5AB1">
            <wp:simplePos x="0" y="0"/>
            <wp:positionH relativeFrom="column">
              <wp:posOffset>3373755</wp:posOffset>
            </wp:positionH>
            <wp:positionV relativeFrom="paragraph">
              <wp:posOffset>346075</wp:posOffset>
            </wp:positionV>
            <wp:extent cx="2296795" cy="1054100"/>
            <wp:effectExtent l="0" t="0" r="1905" b="0"/>
            <wp:wrapTight wrapText="bothSides">
              <wp:wrapPolygon edited="0">
                <wp:start x="0" y="0"/>
                <wp:lineTo x="0" y="21340"/>
                <wp:lineTo x="21498" y="21340"/>
                <wp:lineTo x="21498" y="0"/>
                <wp:lineTo x="0" y="0"/>
              </wp:wrapPolygon>
            </wp:wrapTight>
            <wp:docPr id="4" name="Picture 4" descr="A logo made up of a purple map of Australia with the words Women With Disabilities Australia next to the purpl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made up of a purple map of Australia with the words Women With Disabilities Australia next to the purple m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6795"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46B8EC" w14:textId="6800DAE1" w:rsidR="009A7A3C" w:rsidRPr="009A7A3C" w:rsidRDefault="009A7A3C" w:rsidP="009A7A3C">
      <w:pPr>
        <w:spacing w:line="360" w:lineRule="auto"/>
        <w:rPr>
          <w:rFonts w:ascii="Arial" w:hAnsi="Arial" w:cs="Arial"/>
        </w:rPr>
      </w:pPr>
      <w:r w:rsidRPr="00E95C72">
        <w:rPr>
          <w:rFonts w:ascii="Arial" w:hAnsi="Arial" w:cs="Arial"/>
          <w:noProof/>
          <w:sz w:val="24"/>
          <w:szCs w:val="24"/>
        </w:rPr>
        <w:drawing>
          <wp:anchor distT="0" distB="0" distL="114300" distR="114300" simplePos="0" relativeHeight="251659264" behindDoc="1" locked="0" layoutInCell="1" allowOverlap="1" wp14:anchorId="13A17CF5" wp14:editId="6EF6FAC4">
            <wp:simplePos x="0" y="0"/>
            <wp:positionH relativeFrom="margin">
              <wp:align>left</wp:align>
            </wp:positionH>
            <wp:positionV relativeFrom="paragraph">
              <wp:posOffset>20064</wp:posOffset>
            </wp:positionV>
            <wp:extent cx="2967990" cy="850265"/>
            <wp:effectExtent l="0" t="0" r="3810" b="6985"/>
            <wp:wrapTight wrapText="bothSides">
              <wp:wrapPolygon edited="0">
                <wp:start x="0" y="0"/>
                <wp:lineTo x="0" y="21294"/>
                <wp:lineTo x="21489" y="21294"/>
                <wp:lineTo x="21489" y="0"/>
                <wp:lineTo x="0" y="0"/>
              </wp:wrapPolygon>
            </wp:wrapTight>
            <wp:docPr id="2" name="Picture 2" descr="Blue and green square logo with the words People With Disability Australia next to the coloured squa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and green square logo with the words People With Disability Australia next to the coloured squar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799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6E3248" w14:textId="08F50292" w:rsidR="009A7A3C" w:rsidRPr="009A7A3C" w:rsidRDefault="009A7A3C" w:rsidP="009A7A3C">
      <w:pPr>
        <w:spacing w:line="360" w:lineRule="auto"/>
        <w:rPr>
          <w:rFonts w:ascii="Arial" w:hAnsi="Arial" w:cs="Arial"/>
        </w:rPr>
      </w:pPr>
    </w:p>
    <w:p w14:paraId="1F5B7411" w14:textId="12807C88" w:rsidR="009A7A3C" w:rsidRPr="009A7A3C" w:rsidRDefault="009A7A3C" w:rsidP="009A7A3C">
      <w:pPr>
        <w:spacing w:line="360" w:lineRule="auto"/>
        <w:rPr>
          <w:rFonts w:ascii="Arial" w:hAnsi="Arial" w:cs="Arial"/>
        </w:rPr>
      </w:pPr>
    </w:p>
    <w:p w14:paraId="66362467" w14:textId="461F69B2" w:rsidR="009A7A3C" w:rsidRPr="009A7A3C" w:rsidRDefault="009A7A3C" w:rsidP="009A7A3C">
      <w:pPr>
        <w:spacing w:line="276" w:lineRule="auto"/>
        <w:rPr>
          <w:rFonts w:ascii="Arial" w:hAnsi="Arial" w:cs="Arial"/>
        </w:rPr>
      </w:pPr>
    </w:p>
    <w:p w14:paraId="3E26A92E" w14:textId="6C35298B" w:rsidR="009A7A3C" w:rsidRPr="009A7A3C" w:rsidRDefault="009A7A3C" w:rsidP="009A7A3C">
      <w:pPr>
        <w:spacing w:after="0" w:line="276" w:lineRule="auto"/>
        <w:rPr>
          <w:rFonts w:ascii="Arial" w:hAnsi="Arial" w:cs="Arial"/>
        </w:rPr>
      </w:pPr>
    </w:p>
    <w:p w14:paraId="4E879F8C" w14:textId="4400A6FC" w:rsidR="009A7A3C" w:rsidRPr="009A7A3C" w:rsidRDefault="009A7A3C" w:rsidP="009A7A3C">
      <w:pPr>
        <w:spacing w:after="0" w:line="276" w:lineRule="auto"/>
        <w:rPr>
          <w:rFonts w:ascii="Arial" w:hAnsi="Arial" w:cs="Arial"/>
        </w:rPr>
      </w:pPr>
    </w:p>
    <w:p w14:paraId="6812E551" w14:textId="37F4311D" w:rsidR="009A7A3C" w:rsidRPr="009A7A3C" w:rsidRDefault="009A7A3C" w:rsidP="009A7A3C">
      <w:pPr>
        <w:spacing w:after="0" w:line="276" w:lineRule="auto"/>
        <w:rPr>
          <w:rFonts w:ascii="Arial" w:hAnsi="Arial" w:cs="Arial"/>
        </w:rPr>
      </w:pPr>
    </w:p>
    <w:p w14:paraId="6BBEC7BB" w14:textId="77777777" w:rsidR="009A7A3C" w:rsidRPr="00E95C72" w:rsidRDefault="009A7A3C" w:rsidP="009A7A3C">
      <w:pPr>
        <w:spacing w:after="0" w:line="276" w:lineRule="auto"/>
        <w:jc w:val="center"/>
        <w:rPr>
          <w:rFonts w:ascii="Arial" w:eastAsia="Times New Roman" w:hAnsi="Arial" w:cs="Arial"/>
          <w:color w:val="005496"/>
          <w:sz w:val="24"/>
          <w:szCs w:val="24"/>
        </w:rPr>
      </w:pPr>
    </w:p>
    <w:p w14:paraId="11013929" w14:textId="77777777" w:rsidR="009A7A3C" w:rsidRPr="009F69AE" w:rsidRDefault="009A7A3C" w:rsidP="009F69AE">
      <w:pPr>
        <w:pStyle w:val="Title"/>
        <w:rPr>
          <w:rFonts w:ascii="Arial" w:eastAsia="Times New Roman" w:hAnsi="Arial" w:cs="Arial"/>
          <w:b/>
          <w:bCs/>
          <w:color w:val="004479"/>
        </w:rPr>
      </w:pPr>
      <w:r w:rsidRPr="009F69AE">
        <w:rPr>
          <w:rFonts w:ascii="Arial" w:eastAsia="Times New Roman" w:hAnsi="Arial" w:cs="Arial"/>
          <w:b/>
          <w:bCs/>
          <w:color w:val="004479"/>
        </w:rPr>
        <w:t>Joint Submission</w:t>
      </w:r>
    </w:p>
    <w:p w14:paraId="76FAA6D8" w14:textId="4736E699" w:rsidR="009A7A3C" w:rsidRDefault="009A7A3C" w:rsidP="009A7A3C">
      <w:pPr>
        <w:spacing w:after="0" w:line="276" w:lineRule="auto"/>
        <w:rPr>
          <w:rFonts w:ascii="Arial" w:eastAsia="Times New Roman" w:hAnsi="Arial" w:cs="Arial"/>
          <w:color w:val="005496"/>
          <w:sz w:val="24"/>
          <w:szCs w:val="24"/>
        </w:rPr>
      </w:pPr>
    </w:p>
    <w:p w14:paraId="20395280" w14:textId="77777777" w:rsidR="009A7A3C" w:rsidRPr="00E95C72" w:rsidRDefault="009A7A3C" w:rsidP="009A7A3C">
      <w:pPr>
        <w:spacing w:after="0" w:line="276" w:lineRule="auto"/>
        <w:rPr>
          <w:rFonts w:ascii="Arial" w:eastAsia="Times New Roman" w:hAnsi="Arial" w:cs="Arial"/>
          <w:color w:val="005496"/>
          <w:sz w:val="24"/>
          <w:szCs w:val="24"/>
        </w:rPr>
      </w:pPr>
    </w:p>
    <w:p w14:paraId="08DF9B37" w14:textId="77777777" w:rsidR="009A7A3C" w:rsidRPr="005407BB" w:rsidRDefault="009A7A3C" w:rsidP="005407BB">
      <w:pPr>
        <w:pStyle w:val="Heading1"/>
        <w:rPr>
          <w:rFonts w:ascii="Arial" w:eastAsia="Times New Roman" w:hAnsi="Arial" w:cs="Arial"/>
          <w:b/>
          <w:bCs/>
        </w:rPr>
      </w:pPr>
      <w:r w:rsidRPr="005407BB">
        <w:rPr>
          <w:rFonts w:ascii="Arial" w:eastAsia="Times New Roman" w:hAnsi="Arial" w:cs="Arial"/>
          <w:b/>
          <w:bCs/>
        </w:rPr>
        <w:t>Article 4 of the Optional Protocol to the Convention Against Torture</w:t>
      </w:r>
    </w:p>
    <w:p w14:paraId="05525271" w14:textId="77777777" w:rsidR="009A7A3C" w:rsidRPr="00E95C72" w:rsidRDefault="009A7A3C" w:rsidP="009A7A3C">
      <w:pPr>
        <w:spacing w:after="0" w:line="276" w:lineRule="auto"/>
        <w:rPr>
          <w:rFonts w:ascii="Arial" w:eastAsia="Times New Roman" w:hAnsi="Arial" w:cs="Arial"/>
          <w:color w:val="005496"/>
          <w:sz w:val="24"/>
          <w:szCs w:val="24"/>
        </w:rPr>
      </w:pPr>
    </w:p>
    <w:p w14:paraId="42317B23" w14:textId="77777777" w:rsidR="009A7A3C" w:rsidRPr="00E95C72" w:rsidRDefault="009A7A3C" w:rsidP="009A7A3C">
      <w:pPr>
        <w:spacing w:after="0" w:line="276" w:lineRule="auto"/>
        <w:rPr>
          <w:rFonts w:ascii="Arial" w:eastAsia="Times New Roman" w:hAnsi="Arial" w:cs="Arial"/>
          <w:color w:val="005496"/>
          <w:sz w:val="24"/>
          <w:szCs w:val="24"/>
        </w:rPr>
      </w:pPr>
    </w:p>
    <w:p w14:paraId="7F4DCF7E" w14:textId="545DB9AC" w:rsidR="009A7A3C" w:rsidRPr="008C1D84" w:rsidRDefault="009A7A3C" w:rsidP="005407BB">
      <w:pPr>
        <w:pStyle w:val="Heading2"/>
        <w:spacing w:line="276" w:lineRule="auto"/>
        <w:rPr>
          <w:rFonts w:ascii="Arial" w:eastAsia="Times New Roman" w:hAnsi="Arial" w:cs="Arial"/>
          <w:sz w:val="28"/>
          <w:szCs w:val="28"/>
        </w:rPr>
      </w:pPr>
      <w:r w:rsidRPr="008C1D84">
        <w:rPr>
          <w:rFonts w:ascii="Arial" w:eastAsia="Times New Roman" w:hAnsi="Arial" w:cs="Arial"/>
          <w:sz w:val="28"/>
          <w:szCs w:val="28"/>
        </w:rPr>
        <w:t>Submission to the call for comments on the draft General Comment of the Subcommittee on Prevention of Torture</w:t>
      </w:r>
      <w:r w:rsidR="00591581" w:rsidRPr="008C1D84">
        <w:rPr>
          <w:rFonts w:ascii="Arial" w:eastAsia="Times New Roman" w:hAnsi="Arial" w:cs="Arial"/>
          <w:sz w:val="28"/>
          <w:szCs w:val="28"/>
        </w:rPr>
        <w:t xml:space="preserve"> (SPT)</w:t>
      </w:r>
      <w:r w:rsidRPr="008C1D84">
        <w:rPr>
          <w:rFonts w:ascii="Arial" w:eastAsia="Times New Roman" w:hAnsi="Arial" w:cs="Arial"/>
          <w:sz w:val="28"/>
          <w:szCs w:val="28"/>
        </w:rPr>
        <w:t xml:space="preserve"> on Article 4 of the Optional Protocol to the Convention Against Torture (OPCAT)</w:t>
      </w:r>
    </w:p>
    <w:p w14:paraId="671E168C" w14:textId="77777777" w:rsidR="009A7A3C" w:rsidRPr="00E95C72" w:rsidRDefault="009A7A3C" w:rsidP="009A7A3C">
      <w:pPr>
        <w:spacing w:after="0" w:line="276" w:lineRule="auto"/>
        <w:rPr>
          <w:rFonts w:ascii="Arial" w:eastAsia="Times New Roman" w:hAnsi="Arial" w:cs="Arial"/>
          <w:color w:val="005496"/>
          <w:sz w:val="24"/>
          <w:szCs w:val="24"/>
        </w:rPr>
      </w:pPr>
    </w:p>
    <w:p w14:paraId="0853E9C8" w14:textId="77777777" w:rsidR="009A7A3C" w:rsidRPr="00E95C72" w:rsidRDefault="009A7A3C" w:rsidP="009A7A3C">
      <w:pPr>
        <w:spacing w:after="0" w:line="276" w:lineRule="auto"/>
        <w:rPr>
          <w:rFonts w:ascii="Arial" w:eastAsia="Times New Roman" w:hAnsi="Arial" w:cs="Arial"/>
          <w:color w:val="005496"/>
          <w:sz w:val="24"/>
          <w:szCs w:val="24"/>
        </w:rPr>
      </w:pPr>
    </w:p>
    <w:p w14:paraId="163C46DF" w14:textId="77777777" w:rsidR="009A7A3C" w:rsidRPr="009A7A3C" w:rsidRDefault="009A7A3C" w:rsidP="009A7A3C">
      <w:pPr>
        <w:spacing w:after="0" w:line="276" w:lineRule="auto"/>
        <w:rPr>
          <w:rFonts w:ascii="Arial" w:eastAsia="Times New Roman" w:hAnsi="Arial" w:cs="Arial"/>
          <w:b/>
          <w:bCs/>
          <w:color w:val="005496"/>
          <w:sz w:val="28"/>
          <w:szCs w:val="28"/>
        </w:rPr>
      </w:pPr>
      <w:r w:rsidRPr="009A7A3C">
        <w:rPr>
          <w:rFonts w:ascii="Arial" w:eastAsia="Times New Roman" w:hAnsi="Arial" w:cs="Arial"/>
          <w:b/>
          <w:bCs/>
          <w:color w:val="005496"/>
          <w:sz w:val="28"/>
          <w:szCs w:val="28"/>
        </w:rPr>
        <w:t>April 2023</w:t>
      </w:r>
    </w:p>
    <w:p w14:paraId="2E0CF376" w14:textId="41E4CC1C" w:rsidR="009A7A3C" w:rsidRPr="009A7A3C" w:rsidRDefault="009A7A3C" w:rsidP="009A7A3C">
      <w:pPr>
        <w:spacing w:after="0" w:line="276" w:lineRule="auto"/>
        <w:rPr>
          <w:rFonts w:ascii="Arial" w:hAnsi="Arial" w:cs="Arial"/>
        </w:rPr>
      </w:pPr>
    </w:p>
    <w:p w14:paraId="01772AA3" w14:textId="53AB683C" w:rsidR="009A7A3C" w:rsidRPr="009A7A3C" w:rsidRDefault="009A7A3C" w:rsidP="009A7A3C">
      <w:pPr>
        <w:spacing w:after="0" w:line="276" w:lineRule="auto"/>
        <w:rPr>
          <w:rFonts w:ascii="Arial" w:hAnsi="Arial" w:cs="Arial"/>
        </w:rPr>
      </w:pPr>
    </w:p>
    <w:p w14:paraId="71CAA867" w14:textId="521EC6F3" w:rsidR="009A7A3C" w:rsidRDefault="009A7A3C">
      <w:pPr>
        <w:spacing w:after="0" w:line="240" w:lineRule="auto"/>
        <w:rPr>
          <w:rFonts w:ascii="Arial" w:hAnsi="Arial" w:cs="Arial"/>
        </w:rPr>
      </w:pPr>
      <w:r>
        <w:rPr>
          <w:rFonts w:ascii="Arial" w:hAnsi="Arial" w:cs="Arial"/>
        </w:rPr>
        <w:br w:type="page"/>
      </w:r>
    </w:p>
    <w:p w14:paraId="5F9A7AAA" w14:textId="7989B8AF" w:rsidR="009A7A3C" w:rsidRPr="009F69AE" w:rsidRDefault="009A7A3C" w:rsidP="00044B9E">
      <w:pPr>
        <w:pStyle w:val="Heading1"/>
        <w:rPr>
          <w:rFonts w:ascii="Arial" w:eastAsia="Times New Roman" w:hAnsi="Arial" w:cs="Arial"/>
          <w:b/>
          <w:bCs/>
        </w:rPr>
      </w:pPr>
      <w:r w:rsidRPr="009F69AE">
        <w:rPr>
          <w:rFonts w:ascii="Arial" w:eastAsia="Times New Roman" w:hAnsi="Arial" w:cs="Arial"/>
          <w:b/>
          <w:bCs/>
        </w:rPr>
        <w:lastRenderedPageBreak/>
        <w:t>Publishing Information</w:t>
      </w:r>
    </w:p>
    <w:p w14:paraId="000C12DA" w14:textId="77777777" w:rsidR="009A7A3C" w:rsidRPr="009A7A3C" w:rsidRDefault="009A7A3C" w:rsidP="009A7A3C">
      <w:pPr>
        <w:spacing w:after="0" w:line="276" w:lineRule="auto"/>
        <w:rPr>
          <w:rFonts w:ascii="Arial" w:hAnsi="Arial" w:cs="Arial"/>
          <w:sz w:val="24"/>
          <w:szCs w:val="24"/>
        </w:rPr>
      </w:pPr>
    </w:p>
    <w:p w14:paraId="5135FFF4" w14:textId="77777777" w:rsidR="009A7A3C" w:rsidRPr="009A7A3C" w:rsidRDefault="009A7A3C" w:rsidP="009A7A3C">
      <w:pPr>
        <w:pStyle w:val="BodyText"/>
        <w:spacing w:before="0" w:after="0" w:line="240" w:lineRule="auto"/>
      </w:pPr>
      <w:r w:rsidRPr="009A7A3C">
        <w:t>The moral rights of the authors have been asserted.</w:t>
      </w:r>
    </w:p>
    <w:p w14:paraId="1FA9102E" w14:textId="77777777" w:rsidR="009A7A3C" w:rsidRPr="009A7A3C" w:rsidRDefault="009A7A3C" w:rsidP="009A7A3C">
      <w:pPr>
        <w:pStyle w:val="BodyText"/>
        <w:spacing w:before="0" w:after="0" w:line="240" w:lineRule="auto"/>
      </w:pPr>
    </w:p>
    <w:p w14:paraId="1AF9951F" w14:textId="5E1EDE4D" w:rsidR="009A7A3C" w:rsidRPr="009A7A3C" w:rsidRDefault="009A7A3C" w:rsidP="009A7A3C">
      <w:pPr>
        <w:spacing w:after="0" w:line="276" w:lineRule="auto"/>
        <w:rPr>
          <w:rFonts w:ascii="Arial" w:hAnsi="Arial" w:cs="Arial"/>
          <w:sz w:val="24"/>
          <w:szCs w:val="24"/>
        </w:rPr>
      </w:pPr>
      <w:r w:rsidRPr="009A7A3C">
        <w:rPr>
          <w:rFonts w:ascii="Arial" w:hAnsi="Arial" w:cs="Arial"/>
          <w:sz w:val="24"/>
          <w:szCs w:val="24"/>
        </w:rPr>
        <w:t>National Library of Australia Cataloguing-in-Publication data:</w:t>
      </w:r>
    </w:p>
    <w:p w14:paraId="20299193" w14:textId="75C27CDB" w:rsidR="009A7A3C" w:rsidRPr="009A7A3C" w:rsidRDefault="009A7A3C" w:rsidP="009A7A3C">
      <w:pPr>
        <w:spacing w:after="0" w:line="276" w:lineRule="auto"/>
        <w:rPr>
          <w:rFonts w:ascii="Arial" w:hAnsi="Arial" w:cs="Arial"/>
          <w:sz w:val="24"/>
          <w:szCs w:val="24"/>
        </w:rPr>
      </w:pPr>
    </w:p>
    <w:p w14:paraId="20B656FB" w14:textId="5F77AC1A" w:rsidR="009A7A3C" w:rsidRPr="009A7A3C" w:rsidRDefault="00D760B5" w:rsidP="009A7A3C">
      <w:pPr>
        <w:spacing w:after="0" w:line="276" w:lineRule="auto"/>
        <w:rPr>
          <w:rFonts w:ascii="Arial" w:hAnsi="Arial" w:cs="Arial"/>
          <w:sz w:val="24"/>
          <w:szCs w:val="24"/>
        </w:rPr>
      </w:pPr>
      <w:r w:rsidRPr="00D760B5">
        <w:rPr>
          <w:rFonts w:ascii="Arial" w:hAnsi="Arial" w:cs="Arial"/>
          <w:b/>
          <w:bCs/>
          <w:sz w:val="24"/>
          <w:szCs w:val="24"/>
        </w:rPr>
        <w:t>Author(s):</w:t>
      </w:r>
      <w:r>
        <w:rPr>
          <w:rFonts w:ascii="Arial" w:hAnsi="Arial" w:cs="Arial"/>
          <w:sz w:val="24"/>
          <w:szCs w:val="24"/>
        </w:rPr>
        <w:t xml:space="preserve"> </w:t>
      </w:r>
      <w:r w:rsidR="009A7A3C" w:rsidRPr="009A7A3C">
        <w:rPr>
          <w:rFonts w:ascii="Arial" w:hAnsi="Arial" w:cs="Arial"/>
          <w:sz w:val="24"/>
          <w:szCs w:val="24"/>
        </w:rPr>
        <w:t>Dinesh Wadiwel, Carolyn Frohmader, Giancarlo de Vera, Ira, L. and Steele, L.</w:t>
      </w:r>
    </w:p>
    <w:p w14:paraId="4546B120" w14:textId="77777777" w:rsidR="009A7A3C" w:rsidRDefault="009A7A3C" w:rsidP="009A7A3C">
      <w:pPr>
        <w:spacing w:after="0" w:line="276" w:lineRule="auto"/>
        <w:rPr>
          <w:rFonts w:ascii="Arial" w:hAnsi="Arial" w:cs="Arial"/>
          <w:sz w:val="24"/>
          <w:szCs w:val="24"/>
        </w:rPr>
      </w:pPr>
    </w:p>
    <w:p w14:paraId="0E338C57" w14:textId="60BB9A50" w:rsidR="009A7A3C" w:rsidRPr="009A7A3C" w:rsidRDefault="009A7A3C" w:rsidP="009A7A3C">
      <w:pPr>
        <w:spacing w:after="0" w:line="276" w:lineRule="auto"/>
        <w:rPr>
          <w:rFonts w:ascii="Arial" w:hAnsi="Arial" w:cs="Arial"/>
          <w:sz w:val="24"/>
          <w:szCs w:val="24"/>
        </w:rPr>
      </w:pPr>
      <w:r w:rsidRPr="009A7A3C">
        <w:rPr>
          <w:rFonts w:ascii="Arial" w:hAnsi="Arial" w:cs="Arial"/>
          <w:b/>
          <w:bCs/>
          <w:sz w:val="24"/>
          <w:szCs w:val="24"/>
        </w:rPr>
        <w:t>Title:</w:t>
      </w:r>
      <w:r>
        <w:rPr>
          <w:rFonts w:ascii="Arial" w:hAnsi="Arial" w:cs="Arial"/>
          <w:sz w:val="24"/>
          <w:szCs w:val="24"/>
        </w:rPr>
        <w:t xml:space="preserve"> </w:t>
      </w:r>
      <w:r w:rsidRPr="009A7A3C">
        <w:rPr>
          <w:rFonts w:ascii="Arial" w:hAnsi="Arial" w:cs="Arial"/>
          <w:sz w:val="24"/>
          <w:szCs w:val="24"/>
        </w:rPr>
        <w:t>Joint Submission – Article 4 of the Optional Protocol to the Convention Against Torture: Submission to the call for comments on the draft General Comment of the Subcommittee on Prevention of Torture on Article 4 of the Optional Protocol to the Convention Against Torture (OPCAT)</w:t>
      </w:r>
      <w:r w:rsidR="00F61331">
        <w:rPr>
          <w:rFonts w:ascii="Arial" w:hAnsi="Arial" w:cs="Arial"/>
          <w:sz w:val="24"/>
          <w:szCs w:val="24"/>
        </w:rPr>
        <w:t>.</w:t>
      </w:r>
    </w:p>
    <w:p w14:paraId="413CD033" w14:textId="550C0B12" w:rsidR="009A7A3C" w:rsidRPr="009A7A3C" w:rsidRDefault="009A7A3C" w:rsidP="009A7A3C">
      <w:pPr>
        <w:spacing w:after="0" w:line="276" w:lineRule="auto"/>
        <w:rPr>
          <w:rFonts w:ascii="Arial" w:hAnsi="Arial" w:cs="Arial"/>
          <w:sz w:val="24"/>
          <w:szCs w:val="24"/>
        </w:rPr>
      </w:pPr>
    </w:p>
    <w:p w14:paraId="4A118383" w14:textId="7734A340" w:rsidR="009A7A3C" w:rsidRDefault="009A7A3C" w:rsidP="009A7A3C">
      <w:pPr>
        <w:spacing w:after="0" w:line="276" w:lineRule="auto"/>
        <w:rPr>
          <w:rFonts w:ascii="Arial" w:hAnsi="Arial" w:cs="Arial"/>
          <w:sz w:val="24"/>
          <w:szCs w:val="24"/>
        </w:rPr>
      </w:pPr>
      <w:r w:rsidRPr="009A7A3C">
        <w:rPr>
          <w:rFonts w:ascii="Arial" w:hAnsi="Arial" w:cs="Arial"/>
          <w:b/>
          <w:bCs/>
          <w:sz w:val="24"/>
          <w:szCs w:val="24"/>
        </w:rPr>
        <w:t>ISBN:</w:t>
      </w:r>
      <w:r w:rsidRPr="009A7A3C">
        <w:rPr>
          <w:rFonts w:ascii="Arial" w:hAnsi="Arial" w:cs="Arial"/>
          <w:sz w:val="24"/>
          <w:szCs w:val="24"/>
        </w:rPr>
        <w:t xml:space="preserve"> 978-0-645</w:t>
      </w:r>
      <w:r w:rsidR="00602C0B">
        <w:rPr>
          <w:rFonts w:ascii="Arial" w:hAnsi="Arial" w:cs="Arial"/>
          <w:sz w:val="24"/>
          <w:szCs w:val="24"/>
        </w:rPr>
        <w:t>7443-2-3</w:t>
      </w:r>
    </w:p>
    <w:p w14:paraId="07911997" w14:textId="77777777" w:rsidR="00205E42" w:rsidRPr="009A7A3C" w:rsidRDefault="00205E42" w:rsidP="009A7A3C">
      <w:pPr>
        <w:spacing w:after="0" w:line="276" w:lineRule="auto"/>
        <w:rPr>
          <w:rFonts w:ascii="Arial" w:hAnsi="Arial" w:cs="Arial"/>
          <w:sz w:val="24"/>
          <w:szCs w:val="24"/>
        </w:rPr>
      </w:pPr>
    </w:p>
    <w:p w14:paraId="2462CA26" w14:textId="24D520E0" w:rsidR="009A7A3C" w:rsidRPr="00F94D97" w:rsidRDefault="009A7A3C" w:rsidP="00F94D97">
      <w:pPr>
        <w:pStyle w:val="Heading2"/>
        <w:rPr>
          <w:rFonts w:ascii="Arial" w:hAnsi="Arial" w:cs="Arial"/>
          <w:b/>
          <w:bCs/>
          <w:sz w:val="28"/>
          <w:szCs w:val="28"/>
        </w:rPr>
      </w:pPr>
      <w:r w:rsidRPr="00F94D97">
        <w:rPr>
          <w:rFonts w:ascii="Arial" w:hAnsi="Arial" w:cs="Arial"/>
          <w:b/>
          <w:bCs/>
          <w:sz w:val="28"/>
          <w:szCs w:val="28"/>
        </w:rPr>
        <w:t>Suggested Citation:</w:t>
      </w:r>
    </w:p>
    <w:p w14:paraId="784BF8B2" w14:textId="73BBBFF6" w:rsidR="009A7A3C" w:rsidRPr="009A7A3C" w:rsidRDefault="009A7A3C" w:rsidP="009A7A3C">
      <w:pPr>
        <w:spacing w:after="0" w:line="276" w:lineRule="auto"/>
        <w:rPr>
          <w:rFonts w:ascii="Arial" w:hAnsi="Arial" w:cs="Arial"/>
          <w:sz w:val="24"/>
          <w:szCs w:val="24"/>
        </w:rPr>
      </w:pPr>
      <w:r w:rsidRPr="009A7A3C">
        <w:rPr>
          <w:rFonts w:ascii="Arial" w:hAnsi="Arial" w:cs="Arial"/>
          <w:sz w:val="24"/>
          <w:szCs w:val="24"/>
        </w:rPr>
        <w:t>Wadiwel, D., Frohmader, C., de Vera, G., Ira, L.</w:t>
      </w:r>
      <w:r w:rsidR="00FB18AD" w:rsidRPr="00FB18AD">
        <w:rPr>
          <w:rFonts w:ascii="Arial" w:hAnsi="Arial" w:cs="Arial"/>
          <w:sz w:val="24"/>
          <w:szCs w:val="24"/>
        </w:rPr>
        <w:t xml:space="preserve"> </w:t>
      </w:r>
      <w:r w:rsidR="00FB18AD">
        <w:rPr>
          <w:rFonts w:ascii="Arial" w:hAnsi="Arial" w:cs="Arial"/>
          <w:sz w:val="24"/>
          <w:szCs w:val="24"/>
        </w:rPr>
        <w:t xml:space="preserve">and </w:t>
      </w:r>
      <w:r w:rsidR="00FB18AD" w:rsidRPr="009A7A3C">
        <w:rPr>
          <w:rFonts w:ascii="Arial" w:hAnsi="Arial" w:cs="Arial"/>
          <w:sz w:val="24"/>
          <w:szCs w:val="24"/>
        </w:rPr>
        <w:t>Steele, L.</w:t>
      </w:r>
      <w:r w:rsidRPr="009A7A3C">
        <w:rPr>
          <w:rFonts w:ascii="Arial" w:hAnsi="Arial" w:cs="Arial"/>
          <w:sz w:val="24"/>
          <w:szCs w:val="24"/>
        </w:rPr>
        <w:t xml:space="preserve">, Joint Submission – Article 4 of the Optional Protocol to the Convention Against Torture: Submission to the call for comments on the draft General Comment of the Subcommittee on Prevention of Torture </w:t>
      </w:r>
      <w:r w:rsidR="00FC68B4">
        <w:rPr>
          <w:rFonts w:ascii="Arial" w:hAnsi="Arial" w:cs="Arial"/>
          <w:sz w:val="24"/>
          <w:szCs w:val="24"/>
        </w:rPr>
        <w:t xml:space="preserve">(SPT) </w:t>
      </w:r>
      <w:r w:rsidRPr="009A7A3C">
        <w:rPr>
          <w:rFonts w:ascii="Arial" w:hAnsi="Arial" w:cs="Arial"/>
          <w:sz w:val="24"/>
          <w:szCs w:val="24"/>
        </w:rPr>
        <w:t>on Article 4 of the Optional Protocol to the Convention Against Torture (OPCAT), People with Disability Australia and Women with Disabilities Australia, 14 April 2023, Sydney.</w:t>
      </w:r>
    </w:p>
    <w:p w14:paraId="62AAA480" w14:textId="47759E70" w:rsidR="009A7A3C" w:rsidRPr="009A7A3C" w:rsidRDefault="009A7A3C" w:rsidP="009A7A3C">
      <w:pPr>
        <w:spacing w:after="0" w:line="276" w:lineRule="auto"/>
        <w:rPr>
          <w:rFonts w:ascii="Arial" w:hAnsi="Arial" w:cs="Arial"/>
          <w:sz w:val="24"/>
          <w:szCs w:val="24"/>
        </w:rPr>
      </w:pPr>
    </w:p>
    <w:p w14:paraId="625581EF" w14:textId="77777777" w:rsidR="009A7A3C" w:rsidRPr="00F94D97" w:rsidRDefault="009A7A3C" w:rsidP="00F94D97">
      <w:pPr>
        <w:pStyle w:val="Heading2"/>
        <w:rPr>
          <w:rFonts w:ascii="Arial" w:hAnsi="Arial" w:cs="Arial"/>
          <w:b/>
          <w:bCs/>
          <w:sz w:val="28"/>
          <w:szCs w:val="28"/>
        </w:rPr>
      </w:pPr>
      <w:r w:rsidRPr="00F94D97">
        <w:rPr>
          <w:rFonts w:ascii="Arial" w:hAnsi="Arial" w:cs="Arial"/>
          <w:b/>
          <w:bCs/>
          <w:sz w:val="28"/>
          <w:szCs w:val="28"/>
        </w:rPr>
        <w:t>Acknowledgment of Country</w:t>
      </w:r>
    </w:p>
    <w:p w14:paraId="05669DEC" w14:textId="77777777" w:rsidR="009A7A3C" w:rsidRPr="009A7A3C" w:rsidRDefault="009A7A3C" w:rsidP="009A7A3C">
      <w:pPr>
        <w:spacing w:after="0" w:line="276" w:lineRule="auto"/>
        <w:rPr>
          <w:rFonts w:ascii="Arial" w:hAnsi="Arial" w:cs="Arial"/>
          <w:sz w:val="24"/>
          <w:szCs w:val="24"/>
        </w:rPr>
      </w:pPr>
      <w:r w:rsidRPr="009A7A3C">
        <w:rPr>
          <w:rFonts w:ascii="Arial" w:hAnsi="Arial" w:cs="Arial"/>
          <w:sz w:val="24"/>
          <w:szCs w:val="24"/>
        </w:rPr>
        <w:t xml:space="preserve">The authors would like to acknowledge the traditional custodians of the lands on which this report has been written, reviewed and produced, whose cultures and customs have nurtured and continue to nurture this land since the Dreamtime. We pay our respects to their Elders past, present and future. This is, was and always will be Aboriginal land. </w:t>
      </w:r>
    </w:p>
    <w:p w14:paraId="064C03A9" w14:textId="2D351D1F" w:rsidR="009A7A3C" w:rsidRPr="009A7A3C" w:rsidRDefault="009A7A3C" w:rsidP="009A7A3C">
      <w:pPr>
        <w:spacing w:after="0" w:line="276" w:lineRule="auto"/>
        <w:rPr>
          <w:rFonts w:ascii="Arial" w:hAnsi="Arial" w:cs="Arial"/>
          <w:sz w:val="24"/>
          <w:szCs w:val="24"/>
        </w:rPr>
      </w:pPr>
    </w:p>
    <w:p w14:paraId="78744C8E" w14:textId="77777777" w:rsidR="009A7A3C" w:rsidRPr="00F94D97" w:rsidRDefault="009A7A3C" w:rsidP="00F94D97">
      <w:pPr>
        <w:pStyle w:val="Heading2"/>
        <w:rPr>
          <w:rFonts w:ascii="Arial" w:hAnsi="Arial" w:cs="Arial"/>
          <w:b/>
          <w:bCs/>
          <w:sz w:val="28"/>
          <w:szCs w:val="28"/>
        </w:rPr>
      </w:pPr>
      <w:r w:rsidRPr="00F94D97">
        <w:rPr>
          <w:rFonts w:ascii="Arial" w:hAnsi="Arial" w:cs="Arial"/>
          <w:b/>
          <w:bCs/>
          <w:sz w:val="28"/>
          <w:szCs w:val="28"/>
        </w:rPr>
        <w:t>Submission Contact/s</w:t>
      </w:r>
    </w:p>
    <w:p w14:paraId="4C7E827A" w14:textId="77777777" w:rsidR="00656F0E" w:rsidRDefault="00656F0E" w:rsidP="009A7A3C">
      <w:pPr>
        <w:spacing w:after="0" w:line="276" w:lineRule="auto"/>
        <w:rPr>
          <w:rFonts w:ascii="Arial" w:hAnsi="Arial" w:cs="Arial"/>
          <w:sz w:val="24"/>
          <w:szCs w:val="24"/>
        </w:rPr>
      </w:pPr>
    </w:p>
    <w:p w14:paraId="20A9D03C" w14:textId="3621DF41" w:rsidR="009A7A3C" w:rsidRPr="009A7A3C" w:rsidRDefault="009A7A3C" w:rsidP="009A7A3C">
      <w:pPr>
        <w:spacing w:after="0" w:line="276" w:lineRule="auto"/>
        <w:rPr>
          <w:rFonts w:ascii="Arial" w:hAnsi="Arial" w:cs="Arial"/>
          <w:sz w:val="24"/>
          <w:szCs w:val="24"/>
        </w:rPr>
      </w:pPr>
      <w:r w:rsidRPr="009A7A3C">
        <w:rPr>
          <w:rFonts w:ascii="Arial" w:hAnsi="Arial" w:cs="Arial"/>
          <w:sz w:val="24"/>
          <w:szCs w:val="24"/>
        </w:rPr>
        <w:t>Giancarlo de Vera</w:t>
      </w:r>
    </w:p>
    <w:p w14:paraId="2DA64FF6" w14:textId="77777777" w:rsidR="009A7A3C" w:rsidRPr="009A7A3C" w:rsidRDefault="009A7A3C" w:rsidP="009A7A3C">
      <w:pPr>
        <w:spacing w:after="0" w:line="276" w:lineRule="auto"/>
        <w:rPr>
          <w:rFonts w:ascii="Arial" w:hAnsi="Arial" w:cs="Arial"/>
          <w:sz w:val="24"/>
          <w:szCs w:val="24"/>
        </w:rPr>
      </w:pPr>
      <w:r w:rsidRPr="009A7A3C">
        <w:rPr>
          <w:rFonts w:ascii="Arial" w:hAnsi="Arial" w:cs="Arial"/>
          <w:sz w:val="24"/>
          <w:szCs w:val="24"/>
        </w:rPr>
        <w:t>Senior Manager of Policy</w:t>
      </w:r>
    </w:p>
    <w:p w14:paraId="605652C1" w14:textId="14074B5A" w:rsidR="009A7A3C" w:rsidRPr="009A7A3C" w:rsidRDefault="009A7A3C" w:rsidP="009A7A3C">
      <w:pPr>
        <w:spacing w:after="0" w:line="276" w:lineRule="auto"/>
        <w:rPr>
          <w:rFonts w:ascii="Arial" w:hAnsi="Arial" w:cs="Arial"/>
          <w:sz w:val="24"/>
          <w:szCs w:val="24"/>
        </w:rPr>
      </w:pPr>
      <w:r w:rsidRPr="009A7A3C">
        <w:rPr>
          <w:rFonts w:ascii="Arial" w:hAnsi="Arial" w:cs="Arial"/>
          <w:sz w:val="24"/>
          <w:szCs w:val="24"/>
        </w:rPr>
        <w:t>People with Disability Australia</w:t>
      </w:r>
      <w:r w:rsidR="00670189">
        <w:rPr>
          <w:rFonts w:ascii="Arial" w:hAnsi="Arial" w:cs="Arial"/>
          <w:sz w:val="24"/>
          <w:szCs w:val="24"/>
        </w:rPr>
        <w:t xml:space="preserve"> (PWDA)</w:t>
      </w:r>
    </w:p>
    <w:p w14:paraId="6AB18D67" w14:textId="2D6544DC" w:rsidR="009A7A3C" w:rsidRPr="009A7A3C" w:rsidRDefault="00000000" w:rsidP="009A7A3C">
      <w:pPr>
        <w:spacing w:after="0" w:line="276" w:lineRule="auto"/>
        <w:rPr>
          <w:rFonts w:ascii="Arial" w:hAnsi="Arial" w:cs="Arial"/>
          <w:sz w:val="24"/>
          <w:szCs w:val="24"/>
        </w:rPr>
      </w:pPr>
      <w:hyperlink r:id="rId12" w:history="1">
        <w:r w:rsidR="009A7A3C" w:rsidRPr="00E6369C">
          <w:rPr>
            <w:rStyle w:val="Hyperlink"/>
            <w:rFonts w:ascii="Arial" w:hAnsi="Arial" w:cs="Arial"/>
            <w:sz w:val="24"/>
            <w:szCs w:val="24"/>
          </w:rPr>
          <w:t>giancarlod@pwd.org.au</w:t>
        </w:r>
      </w:hyperlink>
      <w:r w:rsidR="009A7A3C">
        <w:rPr>
          <w:rFonts w:ascii="Arial" w:hAnsi="Arial" w:cs="Arial"/>
          <w:sz w:val="24"/>
          <w:szCs w:val="24"/>
        </w:rPr>
        <w:t xml:space="preserve"> </w:t>
      </w:r>
    </w:p>
    <w:p w14:paraId="388A99B6" w14:textId="77777777" w:rsidR="009A7A3C" w:rsidRPr="009A7A3C" w:rsidRDefault="009A7A3C" w:rsidP="009A7A3C">
      <w:pPr>
        <w:spacing w:after="0" w:line="276" w:lineRule="auto"/>
        <w:rPr>
          <w:rFonts w:ascii="Arial" w:hAnsi="Arial" w:cs="Arial"/>
          <w:sz w:val="24"/>
          <w:szCs w:val="24"/>
        </w:rPr>
      </w:pPr>
    </w:p>
    <w:p w14:paraId="3837A72C" w14:textId="77777777" w:rsidR="009A7A3C" w:rsidRPr="009A7A3C" w:rsidRDefault="009A7A3C" w:rsidP="009A7A3C">
      <w:pPr>
        <w:spacing w:after="0" w:line="276" w:lineRule="auto"/>
        <w:rPr>
          <w:rFonts w:ascii="Arial" w:hAnsi="Arial" w:cs="Arial"/>
          <w:sz w:val="24"/>
          <w:szCs w:val="24"/>
        </w:rPr>
      </w:pPr>
      <w:r w:rsidRPr="009A7A3C">
        <w:rPr>
          <w:rFonts w:ascii="Arial" w:hAnsi="Arial" w:cs="Arial"/>
          <w:sz w:val="24"/>
          <w:szCs w:val="24"/>
        </w:rPr>
        <w:t>Carolyn Frohmader</w:t>
      </w:r>
    </w:p>
    <w:p w14:paraId="4A150479" w14:textId="43BE562D" w:rsidR="009A7A3C" w:rsidRPr="009A7A3C" w:rsidRDefault="009A7A3C" w:rsidP="009A7A3C">
      <w:pPr>
        <w:spacing w:after="0" w:line="276" w:lineRule="auto"/>
        <w:rPr>
          <w:rFonts w:ascii="Arial" w:hAnsi="Arial" w:cs="Arial"/>
          <w:sz w:val="24"/>
          <w:szCs w:val="24"/>
        </w:rPr>
      </w:pPr>
      <w:r w:rsidRPr="009A7A3C">
        <w:rPr>
          <w:rFonts w:ascii="Arial" w:hAnsi="Arial" w:cs="Arial"/>
          <w:sz w:val="24"/>
          <w:szCs w:val="24"/>
        </w:rPr>
        <w:t>C</w:t>
      </w:r>
      <w:r w:rsidR="00670189">
        <w:rPr>
          <w:rFonts w:ascii="Arial" w:hAnsi="Arial" w:cs="Arial"/>
          <w:sz w:val="24"/>
          <w:szCs w:val="24"/>
        </w:rPr>
        <w:t xml:space="preserve">hief Executive Officer </w:t>
      </w:r>
    </w:p>
    <w:p w14:paraId="2359665B" w14:textId="77777777" w:rsidR="009A7A3C" w:rsidRPr="009A7A3C" w:rsidRDefault="009A7A3C" w:rsidP="009A7A3C">
      <w:pPr>
        <w:spacing w:after="0" w:line="276" w:lineRule="auto"/>
        <w:rPr>
          <w:rFonts w:ascii="Arial" w:hAnsi="Arial" w:cs="Arial"/>
          <w:sz w:val="24"/>
          <w:szCs w:val="24"/>
        </w:rPr>
      </w:pPr>
      <w:r w:rsidRPr="009A7A3C">
        <w:rPr>
          <w:rFonts w:ascii="Arial" w:hAnsi="Arial" w:cs="Arial"/>
          <w:sz w:val="24"/>
          <w:szCs w:val="24"/>
        </w:rPr>
        <w:t>Women With Disabilities Australia (WWDA)</w:t>
      </w:r>
    </w:p>
    <w:p w14:paraId="69AB06F9" w14:textId="5317BD49" w:rsidR="009A7A3C" w:rsidRPr="009A7A3C" w:rsidRDefault="009A7A3C" w:rsidP="009A7A3C">
      <w:pPr>
        <w:spacing w:after="0" w:line="276" w:lineRule="auto"/>
        <w:rPr>
          <w:rFonts w:ascii="Arial" w:hAnsi="Arial" w:cs="Arial"/>
          <w:sz w:val="24"/>
          <w:szCs w:val="24"/>
        </w:rPr>
      </w:pPr>
      <w:r w:rsidRPr="009A7A3C">
        <w:rPr>
          <w:rFonts w:ascii="Arial" w:hAnsi="Arial" w:cs="Arial"/>
          <w:sz w:val="24"/>
          <w:szCs w:val="24"/>
        </w:rPr>
        <w:t xml:space="preserve">E: </w:t>
      </w:r>
      <w:hyperlink r:id="rId13" w:history="1">
        <w:r w:rsidRPr="00E6369C">
          <w:rPr>
            <w:rStyle w:val="Hyperlink"/>
            <w:rFonts w:ascii="Arial" w:hAnsi="Arial" w:cs="Arial"/>
            <w:sz w:val="24"/>
            <w:szCs w:val="24"/>
          </w:rPr>
          <w:t>carolyn@wwda.org.au</w:t>
        </w:r>
      </w:hyperlink>
      <w:r>
        <w:rPr>
          <w:rFonts w:ascii="Arial" w:hAnsi="Arial" w:cs="Arial"/>
          <w:sz w:val="24"/>
          <w:szCs w:val="24"/>
        </w:rPr>
        <w:t xml:space="preserve"> </w:t>
      </w:r>
    </w:p>
    <w:p w14:paraId="295EE6EE" w14:textId="38CE0111" w:rsidR="009A7A3C" w:rsidRPr="009A7A3C" w:rsidRDefault="009A7A3C" w:rsidP="009A7A3C">
      <w:pPr>
        <w:spacing w:after="0" w:line="276" w:lineRule="auto"/>
        <w:rPr>
          <w:rFonts w:ascii="Arial" w:hAnsi="Arial" w:cs="Arial"/>
          <w:sz w:val="24"/>
          <w:szCs w:val="24"/>
        </w:rPr>
      </w:pPr>
    </w:p>
    <w:p w14:paraId="520BC363" w14:textId="50C57D53" w:rsidR="009A7A3C" w:rsidRDefault="009A7A3C">
      <w:pPr>
        <w:spacing w:after="0" w:line="240" w:lineRule="auto"/>
        <w:rPr>
          <w:rFonts w:ascii="Arial" w:hAnsi="Arial" w:cs="Arial"/>
          <w:sz w:val="24"/>
          <w:szCs w:val="24"/>
        </w:rPr>
      </w:pPr>
      <w:r>
        <w:rPr>
          <w:rFonts w:ascii="Arial" w:hAnsi="Arial" w:cs="Arial"/>
          <w:sz w:val="24"/>
          <w:szCs w:val="24"/>
        </w:rPr>
        <w:br w:type="page"/>
      </w:r>
    </w:p>
    <w:p w14:paraId="681CEA67" w14:textId="2CEAD306" w:rsidR="00882D69" w:rsidRPr="00044B9E" w:rsidRDefault="00882D69" w:rsidP="00044B9E">
      <w:pPr>
        <w:pStyle w:val="Heading1"/>
        <w:rPr>
          <w:rFonts w:ascii="Arial" w:eastAsia="Times New Roman" w:hAnsi="Arial" w:cs="Arial"/>
          <w:b/>
          <w:bCs/>
        </w:rPr>
      </w:pPr>
      <w:r w:rsidRPr="00044B9E">
        <w:rPr>
          <w:rFonts w:ascii="Arial" w:eastAsia="Times New Roman" w:hAnsi="Arial" w:cs="Arial"/>
          <w:b/>
          <w:bCs/>
        </w:rPr>
        <w:lastRenderedPageBreak/>
        <w:t>About the authors</w:t>
      </w:r>
    </w:p>
    <w:p w14:paraId="33F98E40" w14:textId="77777777" w:rsidR="00882D69" w:rsidRDefault="00882D69" w:rsidP="00656F0E">
      <w:pPr>
        <w:spacing w:after="0" w:line="360" w:lineRule="auto"/>
        <w:rPr>
          <w:rFonts w:ascii="Arial" w:hAnsi="Arial" w:cs="Arial"/>
          <w:sz w:val="24"/>
          <w:szCs w:val="24"/>
        </w:rPr>
      </w:pPr>
    </w:p>
    <w:p w14:paraId="40D04CC2" w14:textId="07D2EAC5" w:rsidR="00882D69" w:rsidRDefault="00882D69" w:rsidP="00656F0E">
      <w:pPr>
        <w:spacing w:after="0" w:line="360" w:lineRule="auto"/>
        <w:rPr>
          <w:rFonts w:ascii="Arial" w:hAnsi="Arial" w:cs="Arial"/>
          <w:sz w:val="24"/>
          <w:szCs w:val="24"/>
        </w:rPr>
      </w:pPr>
      <w:r w:rsidRPr="00941058">
        <w:rPr>
          <w:rFonts w:ascii="Arial" w:hAnsi="Arial" w:cs="Arial"/>
          <w:sz w:val="24"/>
          <w:szCs w:val="24"/>
        </w:rPr>
        <w:t>The following Organisations of Persons with Disabilities (OPDs) worked together to produce this joint submission:</w:t>
      </w:r>
    </w:p>
    <w:p w14:paraId="121D94FB" w14:textId="77777777" w:rsidR="00882D69" w:rsidRPr="00941058" w:rsidRDefault="00882D69" w:rsidP="00656F0E">
      <w:pPr>
        <w:spacing w:after="0" w:line="360" w:lineRule="auto"/>
        <w:rPr>
          <w:rFonts w:ascii="Arial" w:hAnsi="Arial" w:cs="Arial"/>
          <w:sz w:val="24"/>
          <w:szCs w:val="24"/>
        </w:rPr>
      </w:pPr>
    </w:p>
    <w:p w14:paraId="13E9273F" w14:textId="77777777" w:rsidR="00882D69" w:rsidRDefault="00882D69" w:rsidP="00656F0E">
      <w:pPr>
        <w:spacing w:after="0" w:line="360" w:lineRule="auto"/>
        <w:ind w:left="720"/>
        <w:rPr>
          <w:rFonts w:ascii="Arial" w:hAnsi="Arial" w:cs="Arial"/>
          <w:sz w:val="24"/>
          <w:szCs w:val="24"/>
        </w:rPr>
      </w:pPr>
      <w:r w:rsidRPr="00941058">
        <w:rPr>
          <w:rStyle w:val="Hyperlink"/>
          <w:rFonts w:ascii="Arial" w:hAnsi="Arial" w:cs="Arial"/>
          <w:sz w:val="24"/>
          <w:szCs w:val="24"/>
        </w:rPr>
        <w:t>Women with Disability Australia</w:t>
      </w:r>
      <w:r w:rsidRPr="00941058">
        <w:rPr>
          <w:rFonts w:ascii="Arial" w:hAnsi="Arial" w:cs="Arial"/>
          <w:color w:val="000000" w:themeColor="text1"/>
          <w:sz w:val="24"/>
          <w:szCs w:val="24"/>
        </w:rPr>
        <w:t xml:space="preserve"> </w:t>
      </w:r>
      <w:r w:rsidRPr="00941058">
        <w:rPr>
          <w:rFonts w:ascii="Arial" w:hAnsi="Arial" w:cs="Arial"/>
          <w:sz w:val="24"/>
          <w:szCs w:val="24"/>
        </w:rPr>
        <w:t>(WWDA) is the National Disabled People’s Organisation (DPO) and National Women’s Alliance (NWA) for women, girls, feminine identifying, and non-binary people with disability in Australia. As a DPO and an NWA,</w:t>
      </w:r>
      <w:r w:rsidRPr="00941058" w:rsidDel="00D87053">
        <w:rPr>
          <w:rFonts w:ascii="Arial" w:hAnsi="Arial" w:cs="Arial"/>
          <w:sz w:val="24"/>
          <w:szCs w:val="24"/>
        </w:rPr>
        <w:t xml:space="preserve"> </w:t>
      </w:r>
      <w:r w:rsidRPr="00941058">
        <w:rPr>
          <w:rFonts w:ascii="Arial" w:hAnsi="Arial" w:cs="Arial"/>
          <w:sz w:val="24"/>
          <w:szCs w:val="24"/>
        </w:rPr>
        <w:t xml:space="preserve">WWDA is governed, run, led, staffed by, and constituted of, women, girls, feminine identifying, and non-binary people with disability. </w:t>
      </w:r>
    </w:p>
    <w:p w14:paraId="729348FE" w14:textId="77777777" w:rsidR="00882D69" w:rsidRPr="00941058" w:rsidRDefault="00882D69" w:rsidP="00656F0E">
      <w:pPr>
        <w:spacing w:after="0" w:line="360" w:lineRule="auto"/>
        <w:rPr>
          <w:rFonts w:ascii="Arial" w:hAnsi="Arial" w:cs="Arial"/>
          <w:sz w:val="24"/>
          <w:szCs w:val="24"/>
        </w:rPr>
      </w:pPr>
    </w:p>
    <w:p w14:paraId="17641F74" w14:textId="483A841A" w:rsidR="00882D69" w:rsidRDefault="00000000" w:rsidP="00656F0E">
      <w:pPr>
        <w:pStyle w:val="BodyText"/>
        <w:spacing w:before="0" w:after="0"/>
        <w:ind w:left="720"/>
      </w:pPr>
      <w:hyperlink r:id="rId14" w:history="1">
        <w:r w:rsidR="00882D69" w:rsidRPr="00941058">
          <w:rPr>
            <w:rStyle w:val="Hyperlink"/>
          </w:rPr>
          <w:t>People with Disability Australia</w:t>
        </w:r>
      </w:hyperlink>
      <w:r w:rsidR="00882D69" w:rsidRPr="00941058">
        <w:t xml:space="preserve"> (PWDA) is a leading disability rights advocacy and representative organisation </w:t>
      </w:r>
      <w:r w:rsidR="00DA2ECF">
        <w:t>made up of, and led by, people with disability</w:t>
      </w:r>
      <w:r w:rsidR="001C43AB">
        <w:t xml:space="preserve">. PWDA is </w:t>
      </w:r>
      <w:r w:rsidR="00882D69" w:rsidRPr="00941058">
        <w:t>the only Australian national cross-disability organisation representing the interests of people with all kinds of disability. We are a not-for-profit and non-government organisation, and our membership is comprised of people with disability and organisations primarily constituted by people with</w:t>
      </w:r>
      <w:r w:rsidR="00882D69">
        <w:t xml:space="preserve"> </w:t>
      </w:r>
      <w:r w:rsidR="00882D69" w:rsidRPr="00941058">
        <w:t>disability.</w:t>
      </w:r>
    </w:p>
    <w:p w14:paraId="77175D42" w14:textId="77777777" w:rsidR="00882D69" w:rsidRDefault="00882D69" w:rsidP="00656F0E">
      <w:pPr>
        <w:pStyle w:val="BodyText"/>
        <w:spacing w:before="0" w:after="0"/>
      </w:pPr>
    </w:p>
    <w:p w14:paraId="5661AF0D" w14:textId="2806A5C1" w:rsidR="00882D69" w:rsidRDefault="00882D69" w:rsidP="00656F0E">
      <w:pPr>
        <w:pStyle w:val="BodyText"/>
        <w:spacing w:before="0" w:after="0"/>
      </w:pPr>
      <w:r>
        <w:t>The drafting of this joint submission was also supported by:</w:t>
      </w:r>
    </w:p>
    <w:p w14:paraId="7C856C25" w14:textId="77777777" w:rsidR="00882D69" w:rsidRDefault="00882D69" w:rsidP="00656F0E">
      <w:pPr>
        <w:pStyle w:val="BodyText"/>
        <w:spacing w:before="0" w:after="0"/>
      </w:pPr>
    </w:p>
    <w:p w14:paraId="2592D342" w14:textId="2211B4B5" w:rsidR="00882D69" w:rsidRDefault="00882D69" w:rsidP="00656F0E">
      <w:pPr>
        <w:pStyle w:val="BodyText"/>
        <w:numPr>
          <w:ilvl w:val="0"/>
          <w:numId w:val="2"/>
        </w:numPr>
        <w:spacing w:before="0" w:after="0"/>
      </w:pPr>
      <w:r>
        <w:t>Associate Professor Dinesh Wadiwel, Faculty of Arts and Social Sciences, University of Sydney.</w:t>
      </w:r>
    </w:p>
    <w:p w14:paraId="0CBF62B9" w14:textId="77777777" w:rsidR="00882D69" w:rsidRDefault="00882D69" w:rsidP="00656F0E">
      <w:pPr>
        <w:pStyle w:val="BodyText"/>
        <w:numPr>
          <w:ilvl w:val="0"/>
          <w:numId w:val="2"/>
        </w:numPr>
        <w:spacing w:before="0" w:after="0"/>
      </w:pPr>
      <w:r>
        <w:t>Associate Professor Linda Steele, Faculty of Law, University of Technology Sydney.</w:t>
      </w:r>
    </w:p>
    <w:p w14:paraId="253AFB39" w14:textId="77777777" w:rsidR="00882D69" w:rsidRDefault="00882D69" w:rsidP="00656F0E">
      <w:pPr>
        <w:pStyle w:val="BodyText"/>
        <w:spacing w:before="0" w:after="0"/>
      </w:pPr>
    </w:p>
    <w:p w14:paraId="62C46D08" w14:textId="77777777" w:rsidR="00882D69" w:rsidRDefault="00882D69" w:rsidP="00656F0E">
      <w:pPr>
        <w:pStyle w:val="BodyText"/>
        <w:spacing w:before="0" w:after="0"/>
      </w:pPr>
      <w:r>
        <w:t>Both PWDA and WWDA have consultative status with the United Nations Economic and Social Council (ECOSOC).</w:t>
      </w:r>
    </w:p>
    <w:p w14:paraId="2B66B078" w14:textId="667DCA06" w:rsidR="009A7A3C" w:rsidRDefault="009A7A3C" w:rsidP="00656F0E">
      <w:pPr>
        <w:spacing w:after="0" w:line="360" w:lineRule="auto"/>
        <w:rPr>
          <w:rFonts w:ascii="Arial" w:hAnsi="Arial" w:cs="Arial"/>
          <w:sz w:val="24"/>
          <w:szCs w:val="24"/>
        </w:rPr>
      </w:pPr>
    </w:p>
    <w:p w14:paraId="02BC483C" w14:textId="3694AC1A" w:rsidR="00084113" w:rsidRDefault="00084113">
      <w:pPr>
        <w:spacing w:after="0" w:line="240" w:lineRule="auto"/>
        <w:rPr>
          <w:rFonts w:ascii="Arial" w:hAnsi="Arial" w:cs="Arial"/>
          <w:sz w:val="24"/>
          <w:szCs w:val="24"/>
        </w:rPr>
      </w:pPr>
      <w:r>
        <w:rPr>
          <w:rFonts w:ascii="Arial" w:hAnsi="Arial" w:cs="Arial"/>
          <w:sz w:val="24"/>
          <w:szCs w:val="24"/>
        </w:rPr>
        <w:br w:type="page"/>
      </w:r>
    </w:p>
    <w:p w14:paraId="0AAC882D" w14:textId="06413943" w:rsidR="00761386" w:rsidRPr="009F69AE" w:rsidRDefault="00761386" w:rsidP="009F69AE">
      <w:pPr>
        <w:pStyle w:val="Heading1"/>
        <w:rPr>
          <w:rFonts w:ascii="Arial" w:eastAsia="Times New Roman" w:hAnsi="Arial" w:cs="Arial"/>
          <w:b/>
          <w:bCs/>
        </w:rPr>
      </w:pPr>
      <w:r w:rsidRPr="009F69AE">
        <w:rPr>
          <w:rFonts w:ascii="Arial" w:eastAsia="Times New Roman" w:hAnsi="Arial" w:cs="Arial"/>
          <w:b/>
          <w:bCs/>
        </w:rPr>
        <w:lastRenderedPageBreak/>
        <w:t>Introduction</w:t>
      </w:r>
    </w:p>
    <w:p w14:paraId="009B4249" w14:textId="77777777" w:rsidR="00084113" w:rsidRDefault="00084113" w:rsidP="00656F0E">
      <w:pPr>
        <w:spacing w:after="0" w:line="360" w:lineRule="auto"/>
        <w:rPr>
          <w:rFonts w:ascii="Arial" w:hAnsi="Arial" w:cs="Arial"/>
          <w:sz w:val="24"/>
          <w:szCs w:val="24"/>
        </w:rPr>
      </w:pPr>
    </w:p>
    <w:p w14:paraId="3B0955CF" w14:textId="116C8304" w:rsidR="009A7A3C" w:rsidRDefault="00761386" w:rsidP="00656F0E">
      <w:pPr>
        <w:spacing w:after="0" w:line="360" w:lineRule="auto"/>
        <w:rPr>
          <w:rFonts w:ascii="Arial" w:hAnsi="Arial" w:cs="Arial"/>
          <w:sz w:val="24"/>
          <w:szCs w:val="24"/>
        </w:rPr>
      </w:pPr>
      <w:r w:rsidRPr="00CD56F8">
        <w:rPr>
          <w:rFonts w:ascii="Arial" w:hAnsi="Arial" w:cs="Arial"/>
          <w:sz w:val="24"/>
          <w:szCs w:val="24"/>
        </w:rPr>
        <w:t xml:space="preserve">Thank you for the opportunity to comment on </w:t>
      </w:r>
      <w:r w:rsidRPr="00CD56F8">
        <w:rPr>
          <w:rFonts w:ascii="Arial" w:hAnsi="Arial" w:cs="Arial"/>
          <w:i/>
          <w:iCs/>
          <w:sz w:val="24"/>
          <w:szCs w:val="24"/>
        </w:rPr>
        <w:t>Draft General Comment No. 1 on Places of Deprivation of Liberty</w:t>
      </w:r>
      <w:r w:rsidRPr="00CD56F8">
        <w:rPr>
          <w:rFonts w:ascii="Arial" w:hAnsi="Arial" w:cs="Arial"/>
          <w:sz w:val="24"/>
          <w:szCs w:val="24"/>
        </w:rPr>
        <w:t xml:space="preserve"> (article 4) (from here on “Draft General Comment”). This submission </w:t>
      </w:r>
      <w:r w:rsidR="00887AF8">
        <w:rPr>
          <w:rFonts w:ascii="Arial" w:hAnsi="Arial" w:cs="Arial"/>
          <w:sz w:val="24"/>
          <w:szCs w:val="24"/>
        </w:rPr>
        <w:t xml:space="preserve">specifically </w:t>
      </w:r>
      <w:r w:rsidRPr="00CD56F8">
        <w:rPr>
          <w:rFonts w:ascii="Arial" w:hAnsi="Arial" w:cs="Arial"/>
          <w:sz w:val="24"/>
          <w:szCs w:val="24"/>
        </w:rPr>
        <w:t xml:space="preserve">draws attention to the issues relevant to people with disability in interpreting the obligations on States parties in Article 4 of the Optional Protocol to the Convention against Torture and Other Cruel, Inhuman or Degrading Treatment or Punishment (OPCAT). </w:t>
      </w:r>
    </w:p>
    <w:p w14:paraId="5BCB5038" w14:textId="4E67B932" w:rsidR="00761386" w:rsidRPr="009F69AE" w:rsidRDefault="00761386" w:rsidP="009F69AE">
      <w:pPr>
        <w:pStyle w:val="Heading1"/>
        <w:rPr>
          <w:rFonts w:ascii="Arial" w:eastAsia="Times New Roman" w:hAnsi="Arial" w:cs="Arial"/>
          <w:b/>
          <w:bCs/>
        </w:rPr>
      </w:pPr>
      <w:r w:rsidRPr="009F69AE">
        <w:rPr>
          <w:rFonts w:ascii="Arial" w:eastAsia="Times New Roman" w:hAnsi="Arial" w:cs="Arial"/>
          <w:b/>
          <w:bCs/>
        </w:rPr>
        <w:t>Background &amp; Context</w:t>
      </w:r>
    </w:p>
    <w:p w14:paraId="459AB980" w14:textId="77777777" w:rsidR="00761386" w:rsidRPr="009A7A3C" w:rsidRDefault="00761386" w:rsidP="00656F0E">
      <w:pPr>
        <w:spacing w:after="0" w:line="360" w:lineRule="auto"/>
        <w:rPr>
          <w:rFonts w:ascii="Arial" w:hAnsi="Arial" w:cs="Arial"/>
          <w:sz w:val="24"/>
          <w:szCs w:val="24"/>
        </w:rPr>
      </w:pPr>
    </w:p>
    <w:p w14:paraId="3852F6C2" w14:textId="0AADA925" w:rsidR="00761386" w:rsidRDefault="00761386" w:rsidP="00656F0E">
      <w:pPr>
        <w:spacing w:after="0" w:line="360" w:lineRule="auto"/>
        <w:rPr>
          <w:rFonts w:ascii="Arial" w:hAnsi="Arial" w:cs="Arial"/>
          <w:sz w:val="24"/>
          <w:szCs w:val="24"/>
        </w:rPr>
      </w:pPr>
      <w:r w:rsidRPr="00CD56F8">
        <w:rPr>
          <w:rFonts w:ascii="Arial" w:hAnsi="Arial" w:cs="Arial"/>
          <w:sz w:val="24"/>
          <w:szCs w:val="24"/>
        </w:rPr>
        <w:t xml:space="preserve">Historically, people with disability have been subject to systemic forms of deprivation of liberty though institutionalisation and segregation. Many jurisdictions today continue regimes of institutionalisation and segregation </w:t>
      </w:r>
      <w:r w:rsidR="00887AF8">
        <w:rPr>
          <w:rFonts w:ascii="Arial" w:hAnsi="Arial" w:cs="Arial"/>
          <w:sz w:val="24"/>
          <w:szCs w:val="24"/>
        </w:rPr>
        <w:t>of</w:t>
      </w:r>
      <w:r w:rsidRPr="00CD56F8">
        <w:rPr>
          <w:rFonts w:ascii="Arial" w:hAnsi="Arial" w:cs="Arial"/>
          <w:sz w:val="24"/>
          <w:szCs w:val="24"/>
        </w:rPr>
        <w:t xml:space="preserve"> people with disability, often, but not exclusively, in health</w:t>
      </w:r>
      <w:r w:rsidR="00BF68AD">
        <w:rPr>
          <w:rFonts w:ascii="Arial" w:hAnsi="Arial" w:cs="Arial"/>
          <w:sz w:val="24"/>
          <w:szCs w:val="24"/>
        </w:rPr>
        <w:t>,</w:t>
      </w:r>
      <w:r w:rsidRPr="00CD56F8">
        <w:rPr>
          <w:rFonts w:ascii="Arial" w:hAnsi="Arial" w:cs="Arial"/>
          <w:sz w:val="24"/>
          <w:szCs w:val="24"/>
        </w:rPr>
        <w:t xml:space="preserve"> social care</w:t>
      </w:r>
      <w:r w:rsidR="00CC7D9C">
        <w:rPr>
          <w:rFonts w:ascii="Arial" w:hAnsi="Arial" w:cs="Arial"/>
          <w:sz w:val="24"/>
          <w:szCs w:val="24"/>
        </w:rPr>
        <w:t>,</w:t>
      </w:r>
      <w:r w:rsidR="00BF68AD">
        <w:rPr>
          <w:rFonts w:ascii="Arial" w:hAnsi="Arial" w:cs="Arial"/>
          <w:sz w:val="24"/>
          <w:szCs w:val="24"/>
        </w:rPr>
        <w:t xml:space="preserve"> forensic </w:t>
      </w:r>
      <w:r w:rsidR="00CC7D9C">
        <w:rPr>
          <w:rFonts w:ascii="Arial" w:hAnsi="Arial" w:cs="Arial"/>
          <w:sz w:val="24"/>
          <w:szCs w:val="24"/>
        </w:rPr>
        <w:t xml:space="preserve">and educational </w:t>
      </w:r>
      <w:r w:rsidRPr="00CD56F8">
        <w:rPr>
          <w:rFonts w:ascii="Arial" w:hAnsi="Arial" w:cs="Arial"/>
          <w:sz w:val="24"/>
          <w:szCs w:val="24"/>
        </w:rPr>
        <w:t>contexts.</w:t>
      </w:r>
      <w:r w:rsidR="00F85676">
        <w:rPr>
          <w:rStyle w:val="FootnoteReference"/>
          <w:rFonts w:ascii="Arial" w:hAnsi="Arial" w:cs="Arial"/>
          <w:sz w:val="24"/>
          <w:szCs w:val="24"/>
        </w:rPr>
        <w:footnoteReference w:id="1"/>
      </w:r>
      <w:r w:rsidRPr="00CD56F8">
        <w:rPr>
          <w:rFonts w:ascii="Arial" w:hAnsi="Arial" w:cs="Arial"/>
          <w:sz w:val="24"/>
          <w:szCs w:val="24"/>
        </w:rPr>
        <w:t xml:space="preserve"> </w:t>
      </w:r>
    </w:p>
    <w:p w14:paraId="61D1309E" w14:textId="77777777" w:rsidR="00761386" w:rsidRDefault="00761386" w:rsidP="00656F0E">
      <w:pPr>
        <w:spacing w:after="0" w:line="360" w:lineRule="auto"/>
        <w:rPr>
          <w:rFonts w:ascii="Arial" w:hAnsi="Arial" w:cs="Arial"/>
          <w:sz w:val="24"/>
          <w:szCs w:val="24"/>
        </w:rPr>
      </w:pPr>
    </w:p>
    <w:p w14:paraId="3142FA76" w14:textId="0E319E0B" w:rsidR="00761386" w:rsidRDefault="00761386" w:rsidP="00656F0E">
      <w:pPr>
        <w:spacing w:after="0" w:line="360" w:lineRule="auto"/>
        <w:rPr>
          <w:rFonts w:ascii="Arial" w:hAnsi="Arial" w:cs="Arial"/>
          <w:sz w:val="24"/>
          <w:szCs w:val="24"/>
        </w:rPr>
      </w:pPr>
      <w:r w:rsidRPr="00CD56F8">
        <w:rPr>
          <w:rFonts w:ascii="Arial" w:hAnsi="Arial" w:cs="Arial"/>
          <w:sz w:val="24"/>
          <w:szCs w:val="24"/>
        </w:rPr>
        <w:t xml:space="preserve">In </w:t>
      </w:r>
      <w:r w:rsidR="00DD3F3B">
        <w:rPr>
          <w:rFonts w:ascii="Arial" w:hAnsi="Arial" w:cs="Arial"/>
          <w:sz w:val="24"/>
          <w:szCs w:val="24"/>
        </w:rPr>
        <w:t>most</w:t>
      </w:r>
      <w:r w:rsidRPr="00CD56F8">
        <w:rPr>
          <w:rFonts w:ascii="Arial" w:hAnsi="Arial" w:cs="Arial"/>
          <w:sz w:val="24"/>
          <w:szCs w:val="24"/>
        </w:rPr>
        <w:t xml:space="preserve"> cases, these </w:t>
      </w:r>
      <w:r w:rsidR="00DD3F3B">
        <w:rPr>
          <w:rFonts w:ascii="Arial" w:hAnsi="Arial" w:cs="Arial"/>
          <w:sz w:val="24"/>
          <w:szCs w:val="24"/>
        </w:rPr>
        <w:t>practices</w:t>
      </w:r>
      <w:r w:rsidRPr="00CD56F8">
        <w:rPr>
          <w:rFonts w:ascii="Arial" w:hAnsi="Arial" w:cs="Arial"/>
          <w:sz w:val="24"/>
          <w:szCs w:val="24"/>
        </w:rPr>
        <w:t xml:space="preserve"> </w:t>
      </w:r>
      <w:r w:rsidR="00780742">
        <w:rPr>
          <w:rFonts w:ascii="Arial" w:hAnsi="Arial" w:cs="Arial"/>
          <w:sz w:val="24"/>
          <w:szCs w:val="24"/>
        </w:rPr>
        <w:t xml:space="preserve">of deprivation of liberty </w:t>
      </w:r>
      <w:r w:rsidRPr="00CD56F8">
        <w:rPr>
          <w:rFonts w:ascii="Arial" w:hAnsi="Arial" w:cs="Arial"/>
          <w:sz w:val="24"/>
          <w:szCs w:val="24"/>
        </w:rPr>
        <w:t xml:space="preserve">are at odds with general human rights obligations to prevent arbitrary detention. This is recognised in Article 19 of the Convention on the Rights of Persons with Disabilities (CRPD), which states that people with disability have the right to live independently and be included in the community. </w:t>
      </w:r>
      <w:r w:rsidR="00DB54D6">
        <w:rPr>
          <w:rFonts w:ascii="Arial" w:hAnsi="Arial" w:cs="Arial"/>
          <w:sz w:val="24"/>
          <w:szCs w:val="24"/>
        </w:rPr>
        <w:t>It is also recognised in Article 14 of the CRPD which states that people with disability have the right to freedom from arbitrary deprivation of liberty, including that which is based on their disability.</w:t>
      </w:r>
    </w:p>
    <w:p w14:paraId="718F4B45" w14:textId="77777777" w:rsidR="00761386" w:rsidRPr="00CD56F8" w:rsidRDefault="00761386" w:rsidP="00656F0E">
      <w:pPr>
        <w:spacing w:after="0" w:line="360" w:lineRule="auto"/>
        <w:rPr>
          <w:rFonts w:ascii="Arial" w:hAnsi="Arial" w:cs="Arial"/>
          <w:sz w:val="24"/>
          <w:szCs w:val="24"/>
        </w:rPr>
      </w:pPr>
    </w:p>
    <w:p w14:paraId="21477E12" w14:textId="1CA87622" w:rsidR="00761386" w:rsidRDefault="00761386" w:rsidP="00656F0E">
      <w:pPr>
        <w:spacing w:after="0" w:line="360" w:lineRule="auto"/>
        <w:rPr>
          <w:rFonts w:ascii="Arial" w:hAnsi="Arial" w:cs="Arial"/>
          <w:sz w:val="24"/>
          <w:szCs w:val="24"/>
        </w:rPr>
      </w:pPr>
      <w:r w:rsidRPr="00CD56F8">
        <w:rPr>
          <w:rFonts w:ascii="Arial" w:hAnsi="Arial" w:cs="Arial"/>
          <w:sz w:val="24"/>
          <w:szCs w:val="24"/>
        </w:rPr>
        <w:t xml:space="preserve">In many jurisdictions, </w:t>
      </w:r>
      <w:r w:rsidR="00E63FDD">
        <w:rPr>
          <w:rFonts w:ascii="Arial" w:hAnsi="Arial" w:cs="Arial"/>
          <w:sz w:val="24"/>
          <w:szCs w:val="24"/>
        </w:rPr>
        <w:t>third parties are authorised by law to consent to these practices of deprivation and override the wishes of people with disability</w:t>
      </w:r>
      <w:r w:rsidR="007A0276">
        <w:rPr>
          <w:rFonts w:ascii="Arial" w:hAnsi="Arial" w:cs="Arial"/>
          <w:sz w:val="24"/>
          <w:szCs w:val="24"/>
        </w:rPr>
        <w:t xml:space="preserve"> (‘substitute decision-making’)</w:t>
      </w:r>
      <w:r w:rsidR="00E63FDD">
        <w:rPr>
          <w:rFonts w:ascii="Arial" w:hAnsi="Arial" w:cs="Arial"/>
          <w:sz w:val="24"/>
          <w:szCs w:val="24"/>
        </w:rPr>
        <w:t>. P</w:t>
      </w:r>
      <w:r w:rsidRPr="00CD56F8">
        <w:rPr>
          <w:rFonts w:ascii="Arial" w:hAnsi="Arial" w:cs="Arial"/>
          <w:sz w:val="24"/>
          <w:szCs w:val="24"/>
        </w:rPr>
        <w:t>eople with disability are denied the right to legal capacity in “a discriminatory manner under substitute decision-making regimes such as guardianship, conservatorship and mental health laws that permit forced treatment.”</w:t>
      </w:r>
      <w:r w:rsidRPr="00CD56F8">
        <w:rPr>
          <w:rStyle w:val="FootnoteReference"/>
          <w:rFonts w:ascii="Arial" w:hAnsi="Arial" w:cs="Arial"/>
          <w:sz w:val="24"/>
          <w:szCs w:val="24"/>
        </w:rPr>
        <w:footnoteReference w:id="2"/>
      </w:r>
      <w:r w:rsidRPr="00CD56F8">
        <w:rPr>
          <w:rFonts w:ascii="Arial" w:hAnsi="Arial" w:cs="Arial"/>
          <w:sz w:val="24"/>
          <w:szCs w:val="24"/>
        </w:rPr>
        <w:t xml:space="preserve"> This </w:t>
      </w:r>
      <w:r>
        <w:rPr>
          <w:rFonts w:ascii="Arial" w:hAnsi="Arial" w:cs="Arial"/>
          <w:sz w:val="24"/>
          <w:szCs w:val="24"/>
        </w:rPr>
        <w:t xml:space="preserve">context </w:t>
      </w:r>
      <w:r w:rsidRPr="00CD56F8">
        <w:rPr>
          <w:rFonts w:ascii="Arial" w:hAnsi="Arial" w:cs="Arial"/>
          <w:sz w:val="24"/>
          <w:szCs w:val="24"/>
        </w:rPr>
        <w:t xml:space="preserve">is recognised in Article 12(3) of the CRPD which obliges States parties to “take appropriate measures to provide access by persons with disabilities to the support they may require in exercising their legal capacity.” </w:t>
      </w:r>
    </w:p>
    <w:p w14:paraId="4EBC3083" w14:textId="77777777" w:rsidR="00761386" w:rsidRDefault="00761386" w:rsidP="00656F0E">
      <w:pPr>
        <w:spacing w:after="0" w:line="360" w:lineRule="auto"/>
        <w:rPr>
          <w:rFonts w:ascii="Arial" w:hAnsi="Arial" w:cs="Arial"/>
          <w:sz w:val="24"/>
          <w:szCs w:val="24"/>
        </w:rPr>
      </w:pPr>
    </w:p>
    <w:p w14:paraId="249DDF5E" w14:textId="36B57CDA" w:rsidR="00761386" w:rsidRDefault="00761386" w:rsidP="00656F0E">
      <w:pPr>
        <w:spacing w:after="0" w:line="360" w:lineRule="auto"/>
        <w:rPr>
          <w:rFonts w:ascii="Arial" w:hAnsi="Arial" w:cs="Arial"/>
          <w:sz w:val="24"/>
          <w:szCs w:val="24"/>
        </w:rPr>
      </w:pPr>
      <w:r w:rsidRPr="00CD56F8">
        <w:rPr>
          <w:rFonts w:ascii="Arial" w:hAnsi="Arial" w:cs="Arial"/>
          <w:sz w:val="24"/>
          <w:szCs w:val="24"/>
        </w:rPr>
        <w:t xml:space="preserve">As shall be discussed, substitute decision-making regimes often provide the context for the torture and ill-treatment experienced by people with disability. In this context, </w:t>
      </w:r>
      <w:r w:rsidRPr="00CD56F8">
        <w:rPr>
          <w:rFonts w:ascii="Arial" w:hAnsi="Arial" w:cs="Arial"/>
          <w:i/>
          <w:iCs/>
          <w:sz w:val="24"/>
          <w:szCs w:val="24"/>
        </w:rPr>
        <w:t>General Comment No.1 of the Committee on the Rights of Persons with Disabilities</w:t>
      </w:r>
      <w:r w:rsidRPr="00CD56F8">
        <w:rPr>
          <w:rFonts w:ascii="Arial" w:hAnsi="Arial" w:cs="Arial"/>
          <w:sz w:val="24"/>
          <w:szCs w:val="24"/>
        </w:rPr>
        <w:t xml:space="preserve"> notes th</w:t>
      </w:r>
      <w:r w:rsidR="009A2F2F">
        <w:rPr>
          <w:rFonts w:ascii="Arial" w:hAnsi="Arial" w:cs="Arial"/>
          <w:sz w:val="24"/>
          <w:szCs w:val="24"/>
        </w:rPr>
        <w:t>at</w:t>
      </w:r>
      <w:r w:rsidRPr="00CD56F8">
        <w:rPr>
          <w:rFonts w:ascii="Arial" w:hAnsi="Arial" w:cs="Arial"/>
          <w:sz w:val="24"/>
          <w:szCs w:val="24"/>
        </w:rPr>
        <w:t xml:space="preserve"> substitute decision making regimes “must be abolished in order to ensure that full legal capacity is restored to persons with disabilities on an equal basis with others.”</w:t>
      </w:r>
      <w:r w:rsidRPr="00CD56F8">
        <w:rPr>
          <w:rStyle w:val="FootnoteReference"/>
          <w:rFonts w:ascii="Arial" w:hAnsi="Arial" w:cs="Arial"/>
          <w:sz w:val="24"/>
          <w:szCs w:val="24"/>
        </w:rPr>
        <w:footnoteReference w:id="3"/>
      </w:r>
    </w:p>
    <w:p w14:paraId="363606AC" w14:textId="51AABFC9" w:rsidR="009A7A3C" w:rsidRPr="009A7A3C" w:rsidRDefault="009A7A3C" w:rsidP="00656F0E">
      <w:pPr>
        <w:spacing w:after="0" w:line="360" w:lineRule="auto"/>
        <w:rPr>
          <w:rFonts w:ascii="Arial" w:hAnsi="Arial" w:cs="Arial"/>
          <w:sz w:val="24"/>
          <w:szCs w:val="24"/>
        </w:rPr>
      </w:pPr>
    </w:p>
    <w:p w14:paraId="04BFAFE0" w14:textId="3F52B54D" w:rsidR="00D501A1" w:rsidRDefault="00D501A1" w:rsidP="00656F0E">
      <w:pPr>
        <w:spacing w:after="0" w:line="360" w:lineRule="auto"/>
        <w:rPr>
          <w:rFonts w:ascii="Arial" w:hAnsi="Arial" w:cs="Arial"/>
          <w:sz w:val="24"/>
          <w:szCs w:val="24"/>
        </w:rPr>
      </w:pPr>
      <w:r w:rsidRPr="00CD56F8">
        <w:rPr>
          <w:rFonts w:ascii="Arial" w:hAnsi="Arial" w:cs="Arial"/>
          <w:sz w:val="24"/>
          <w:szCs w:val="24"/>
        </w:rPr>
        <w:t>While many people with disability experience deprivation of liberty in health</w:t>
      </w:r>
      <w:r w:rsidR="007A0276">
        <w:rPr>
          <w:rFonts w:ascii="Arial" w:hAnsi="Arial" w:cs="Arial"/>
          <w:sz w:val="24"/>
          <w:szCs w:val="24"/>
        </w:rPr>
        <w:t>,</w:t>
      </w:r>
      <w:r w:rsidRPr="00CD56F8">
        <w:rPr>
          <w:rFonts w:ascii="Arial" w:hAnsi="Arial" w:cs="Arial"/>
          <w:sz w:val="24"/>
          <w:szCs w:val="24"/>
        </w:rPr>
        <w:t xml:space="preserve"> social care</w:t>
      </w:r>
      <w:r w:rsidR="007E544D">
        <w:rPr>
          <w:rFonts w:ascii="Arial" w:hAnsi="Arial" w:cs="Arial"/>
          <w:sz w:val="24"/>
          <w:szCs w:val="24"/>
        </w:rPr>
        <w:t>,</w:t>
      </w:r>
      <w:r w:rsidR="007A0276">
        <w:rPr>
          <w:rFonts w:ascii="Arial" w:hAnsi="Arial" w:cs="Arial"/>
          <w:sz w:val="24"/>
          <w:szCs w:val="24"/>
        </w:rPr>
        <w:t xml:space="preserve"> forensic </w:t>
      </w:r>
      <w:r w:rsidR="007E544D">
        <w:rPr>
          <w:rFonts w:ascii="Arial" w:hAnsi="Arial" w:cs="Arial"/>
          <w:sz w:val="24"/>
          <w:szCs w:val="24"/>
        </w:rPr>
        <w:t xml:space="preserve">and educational </w:t>
      </w:r>
      <w:r w:rsidRPr="00CD56F8">
        <w:rPr>
          <w:rFonts w:ascii="Arial" w:hAnsi="Arial" w:cs="Arial"/>
          <w:sz w:val="24"/>
          <w:szCs w:val="24"/>
        </w:rPr>
        <w:t>contexts, it is also important to note that people with disability are also represented, and in some cases over-represented, in other custodial contexts</w:t>
      </w:r>
      <w:r>
        <w:rPr>
          <w:rFonts w:ascii="Arial" w:hAnsi="Arial" w:cs="Arial"/>
          <w:sz w:val="24"/>
          <w:szCs w:val="24"/>
        </w:rPr>
        <w:t>, including within prison systems</w:t>
      </w:r>
      <w:r w:rsidRPr="00CD56F8">
        <w:rPr>
          <w:rFonts w:ascii="Arial" w:hAnsi="Arial" w:cs="Arial"/>
          <w:sz w:val="24"/>
          <w:szCs w:val="24"/>
        </w:rPr>
        <w:t xml:space="preserve">. </w:t>
      </w:r>
    </w:p>
    <w:p w14:paraId="1E8C70EA" w14:textId="0CD49442" w:rsidR="009A7A3C" w:rsidRPr="009A7A3C" w:rsidRDefault="009A7A3C" w:rsidP="00656F0E">
      <w:pPr>
        <w:spacing w:after="0" w:line="360" w:lineRule="auto"/>
        <w:rPr>
          <w:rFonts w:ascii="Arial" w:hAnsi="Arial" w:cs="Arial"/>
          <w:sz w:val="24"/>
          <w:szCs w:val="24"/>
        </w:rPr>
      </w:pPr>
    </w:p>
    <w:p w14:paraId="2EE6A5ED" w14:textId="6012FBEB" w:rsidR="009A6F06" w:rsidRDefault="009A6F06" w:rsidP="00656F0E">
      <w:pPr>
        <w:spacing w:after="0" w:line="360" w:lineRule="auto"/>
        <w:rPr>
          <w:rFonts w:ascii="Arial" w:hAnsi="Arial" w:cs="Arial"/>
          <w:sz w:val="24"/>
          <w:szCs w:val="24"/>
        </w:rPr>
      </w:pPr>
      <w:r w:rsidRPr="00CD56F8">
        <w:rPr>
          <w:rFonts w:ascii="Arial" w:hAnsi="Arial" w:cs="Arial"/>
          <w:sz w:val="24"/>
          <w:szCs w:val="24"/>
        </w:rPr>
        <w:t xml:space="preserve">In Australia, First Nations children and adults are also overrepresented in prisons, and </w:t>
      </w:r>
      <w:r>
        <w:rPr>
          <w:rFonts w:ascii="Arial" w:hAnsi="Arial" w:cs="Arial"/>
          <w:sz w:val="24"/>
          <w:szCs w:val="24"/>
        </w:rPr>
        <w:t xml:space="preserve">there are a range of </w:t>
      </w:r>
      <w:r w:rsidRPr="00CD56F8">
        <w:rPr>
          <w:rFonts w:ascii="Arial" w:hAnsi="Arial" w:cs="Arial"/>
          <w:sz w:val="24"/>
          <w:szCs w:val="24"/>
        </w:rPr>
        <w:t xml:space="preserve">intersectional issues </w:t>
      </w:r>
      <w:r>
        <w:rPr>
          <w:rFonts w:ascii="Arial" w:hAnsi="Arial" w:cs="Arial"/>
          <w:sz w:val="24"/>
          <w:szCs w:val="24"/>
        </w:rPr>
        <w:t>that relate to</w:t>
      </w:r>
      <w:r w:rsidRPr="00CD56F8">
        <w:rPr>
          <w:rFonts w:ascii="Arial" w:hAnsi="Arial" w:cs="Arial"/>
          <w:sz w:val="24"/>
          <w:szCs w:val="24"/>
        </w:rPr>
        <w:t xml:space="preserve"> First Nations people </w:t>
      </w:r>
      <w:r>
        <w:rPr>
          <w:rFonts w:ascii="Arial" w:hAnsi="Arial" w:cs="Arial"/>
          <w:sz w:val="24"/>
          <w:szCs w:val="24"/>
        </w:rPr>
        <w:t>with</w:t>
      </w:r>
      <w:r w:rsidRPr="00CD56F8">
        <w:rPr>
          <w:rFonts w:ascii="Arial" w:hAnsi="Arial" w:cs="Arial"/>
          <w:sz w:val="24"/>
          <w:szCs w:val="24"/>
        </w:rPr>
        <w:t xml:space="preserve"> disability.</w:t>
      </w:r>
      <w:r w:rsidRPr="00CD56F8">
        <w:rPr>
          <w:rStyle w:val="FootnoteReference"/>
          <w:rFonts w:ascii="Arial" w:hAnsi="Arial" w:cs="Arial"/>
          <w:sz w:val="24"/>
          <w:szCs w:val="24"/>
        </w:rPr>
        <w:footnoteReference w:id="4"/>
      </w:r>
      <w:r w:rsidRPr="00CD56F8">
        <w:rPr>
          <w:rFonts w:ascii="Arial" w:hAnsi="Arial" w:cs="Arial"/>
          <w:sz w:val="24"/>
          <w:szCs w:val="24"/>
        </w:rPr>
        <w:t xml:space="preserve"> It is also important to note that forms of restraint, seclusion and forced treatment (discussed below) occur in a diverse variety of settings including</w:t>
      </w:r>
      <w:r>
        <w:rPr>
          <w:rFonts w:ascii="Arial" w:hAnsi="Arial" w:cs="Arial"/>
          <w:sz w:val="24"/>
          <w:szCs w:val="24"/>
        </w:rPr>
        <w:t xml:space="preserve">, for </w:t>
      </w:r>
      <w:r w:rsidR="008031B7">
        <w:rPr>
          <w:rFonts w:ascii="Arial" w:hAnsi="Arial" w:cs="Arial"/>
          <w:sz w:val="24"/>
          <w:szCs w:val="24"/>
        </w:rPr>
        <w:t>example,</w:t>
      </w:r>
      <w:r w:rsidRPr="00CD56F8">
        <w:rPr>
          <w:rFonts w:ascii="Arial" w:hAnsi="Arial" w:cs="Arial"/>
          <w:sz w:val="24"/>
          <w:szCs w:val="24"/>
        </w:rPr>
        <w:t xml:space="preserve"> in education contexts, </w:t>
      </w:r>
      <w:r w:rsidRPr="00CF415E">
        <w:rPr>
          <w:rFonts w:ascii="Arial" w:hAnsi="Arial" w:cs="Arial"/>
          <w:sz w:val="24"/>
          <w:szCs w:val="24"/>
        </w:rPr>
        <w:t>where children with disability may “not be permitted to leave at will”.</w:t>
      </w:r>
      <w:r w:rsidRPr="00CD56F8">
        <w:rPr>
          <w:rFonts w:ascii="Arial" w:hAnsi="Arial" w:cs="Arial"/>
          <w:sz w:val="24"/>
          <w:szCs w:val="24"/>
        </w:rPr>
        <w:t xml:space="preserve"> </w:t>
      </w:r>
    </w:p>
    <w:p w14:paraId="524853E2" w14:textId="13D1689F" w:rsidR="009A7A3C" w:rsidRDefault="009A7A3C" w:rsidP="00656F0E">
      <w:pPr>
        <w:spacing w:after="0" w:line="360" w:lineRule="auto"/>
        <w:rPr>
          <w:rFonts w:ascii="Arial" w:hAnsi="Arial" w:cs="Arial"/>
          <w:sz w:val="24"/>
          <w:szCs w:val="24"/>
        </w:rPr>
      </w:pPr>
    </w:p>
    <w:p w14:paraId="17167561" w14:textId="77777777" w:rsidR="003514D1" w:rsidRDefault="00685069" w:rsidP="00656F0E">
      <w:pPr>
        <w:spacing w:after="0" w:line="360" w:lineRule="auto"/>
        <w:rPr>
          <w:rFonts w:ascii="Arial" w:hAnsi="Arial" w:cs="Arial"/>
          <w:sz w:val="24"/>
          <w:szCs w:val="24"/>
        </w:rPr>
      </w:pPr>
      <w:r w:rsidRPr="00CD56F8">
        <w:rPr>
          <w:rFonts w:ascii="Arial" w:hAnsi="Arial" w:cs="Arial"/>
          <w:sz w:val="24"/>
          <w:szCs w:val="24"/>
        </w:rPr>
        <w:t xml:space="preserve">Many people with disability are subject to forms of restraint, seclusion and forced treatment that </w:t>
      </w:r>
      <w:r w:rsidR="00A6633B">
        <w:rPr>
          <w:rFonts w:ascii="Arial" w:hAnsi="Arial" w:cs="Arial"/>
          <w:sz w:val="24"/>
          <w:szCs w:val="24"/>
        </w:rPr>
        <w:t xml:space="preserve">restrict the movement of people with disability. These practices </w:t>
      </w:r>
      <w:r>
        <w:rPr>
          <w:rFonts w:ascii="Arial" w:hAnsi="Arial" w:cs="Arial"/>
          <w:sz w:val="24"/>
          <w:szCs w:val="24"/>
        </w:rPr>
        <w:t>are</w:t>
      </w:r>
      <w:r w:rsidRPr="00CD56F8">
        <w:rPr>
          <w:rFonts w:ascii="Arial" w:hAnsi="Arial" w:cs="Arial"/>
          <w:sz w:val="24"/>
          <w:szCs w:val="24"/>
        </w:rPr>
        <w:t xml:space="preserve"> at odds with obligations to prevent torture and ill-treatment. These practices can include, but are not limited to, chemical, mechanical, physical and environmental restraint and seclusion, forced sterilisation, </w:t>
      </w:r>
      <w:r>
        <w:rPr>
          <w:rFonts w:ascii="Arial" w:hAnsi="Arial" w:cs="Arial"/>
          <w:sz w:val="24"/>
          <w:szCs w:val="24"/>
        </w:rPr>
        <w:t xml:space="preserve">forced contraception, forced abortion, </w:t>
      </w:r>
      <w:r w:rsidRPr="00CD56F8">
        <w:rPr>
          <w:rFonts w:ascii="Arial" w:hAnsi="Arial" w:cs="Arial"/>
          <w:sz w:val="24"/>
          <w:szCs w:val="24"/>
        </w:rPr>
        <w:t xml:space="preserve">menstrual suppression and anti-libidinal medication, </w:t>
      </w:r>
      <w:r w:rsidR="005C6CC3" w:rsidRPr="005C6CC3">
        <w:rPr>
          <w:rFonts w:ascii="Arial" w:hAnsi="Arial" w:cs="Arial"/>
          <w:sz w:val="24"/>
          <w:szCs w:val="24"/>
        </w:rPr>
        <w:t>unnecessary surgery or treatment on intersex people</w:t>
      </w:r>
      <w:r w:rsidR="005C6CC3">
        <w:rPr>
          <w:rFonts w:ascii="Arial" w:hAnsi="Arial" w:cs="Arial"/>
          <w:sz w:val="24"/>
          <w:szCs w:val="24"/>
        </w:rPr>
        <w:t>,</w:t>
      </w:r>
      <w:r w:rsidR="005C6CC3" w:rsidRPr="005C6CC3">
        <w:rPr>
          <w:rFonts w:ascii="Arial" w:hAnsi="Arial" w:cs="Arial"/>
          <w:sz w:val="24"/>
          <w:szCs w:val="24"/>
        </w:rPr>
        <w:t xml:space="preserve"> </w:t>
      </w:r>
      <w:r w:rsidRPr="00CD56F8">
        <w:rPr>
          <w:rFonts w:ascii="Arial" w:hAnsi="Arial" w:cs="Arial"/>
          <w:sz w:val="24"/>
          <w:szCs w:val="24"/>
        </w:rPr>
        <w:t xml:space="preserve">and involuntary mental health treatment. </w:t>
      </w:r>
    </w:p>
    <w:p w14:paraId="7FEC3C28" w14:textId="77777777" w:rsidR="003514D1" w:rsidRDefault="003514D1" w:rsidP="00656F0E">
      <w:pPr>
        <w:spacing w:after="0" w:line="360" w:lineRule="auto"/>
        <w:rPr>
          <w:rFonts w:ascii="Arial" w:hAnsi="Arial" w:cs="Arial"/>
          <w:sz w:val="24"/>
          <w:szCs w:val="24"/>
        </w:rPr>
      </w:pPr>
    </w:p>
    <w:p w14:paraId="6A5922AD" w14:textId="53A1C415" w:rsidR="00685069" w:rsidRDefault="00CF748A" w:rsidP="00656F0E">
      <w:pPr>
        <w:spacing w:after="0" w:line="360" w:lineRule="auto"/>
        <w:rPr>
          <w:rFonts w:ascii="Arial" w:hAnsi="Arial" w:cs="Arial"/>
          <w:sz w:val="24"/>
          <w:szCs w:val="24"/>
        </w:rPr>
      </w:pPr>
      <w:r>
        <w:rPr>
          <w:rFonts w:ascii="Arial" w:hAnsi="Arial" w:cs="Arial"/>
          <w:sz w:val="24"/>
          <w:szCs w:val="24"/>
        </w:rPr>
        <w:t>The Committee Against Torture, for example, has urged Australia to cease these practices,</w:t>
      </w:r>
      <w:r>
        <w:rPr>
          <w:rStyle w:val="FootnoteReference"/>
          <w:rFonts w:ascii="Arial" w:hAnsi="Arial" w:cs="Arial"/>
          <w:sz w:val="24"/>
          <w:szCs w:val="24"/>
        </w:rPr>
        <w:footnoteReference w:id="5"/>
      </w:r>
      <w:r>
        <w:rPr>
          <w:rFonts w:ascii="Arial" w:hAnsi="Arial" w:cs="Arial"/>
          <w:sz w:val="24"/>
          <w:szCs w:val="24"/>
        </w:rPr>
        <w:t xml:space="preserve"> as have other human rights treaty monitoring bodies to the </w:t>
      </w:r>
      <w:r w:rsidR="006E0009">
        <w:rPr>
          <w:rFonts w:ascii="Arial" w:hAnsi="Arial" w:cs="Arial"/>
          <w:sz w:val="24"/>
          <w:szCs w:val="24"/>
        </w:rPr>
        <w:t xml:space="preserve">international </w:t>
      </w:r>
      <w:r>
        <w:rPr>
          <w:rFonts w:ascii="Arial" w:hAnsi="Arial" w:cs="Arial"/>
          <w:sz w:val="24"/>
          <w:szCs w:val="24"/>
        </w:rPr>
        <w:t>treaties to which Australia is a party.</w:t>
      </w:r>
      <w:r w:rsidR="00E34453">
        <w:rPr>
          <w:rStyle w:val="FootnoteReference"/>
          <w:rFonts w:ascii="Arial" w:hAnsi="Arial" w:cs="Arial"/>
          <w:sz w:val="24"/>
          <w:szCs w:val="24"/>
        </w:rPr>
        <w:footnoteReference w:id="6"/>
      </w:r>
      <w:r>
        <w:rPr>
          <w:rFonts w:ascii="Arial" w:hAnsi="Arial" w:cs="Arial"/>
          <w:sz w:val="24"/>
          <w:szCs w:val="24"/>
        </w:rPr>
        <w:t xml:space="preserve"> </w:t>
      </w:r>
    </w:p>
    <w:p w14:paraId="63A767F6" w14:textId="284C3E28" w:rsidR="009A6F06" w:rsidRDefault="009A6F06" w:rsidP="00656F0E">
      <w:pPr>
        <w:spacing w:after="0" w:line="360" w:lineRule="auto"/>
        <w:rPr>
          <w:rFonts w:ascii="Arial" w:hAnsi="Arial" w:cs="Arial"/>
          <w:sz w:val="24"/>
          <w:szCs w:val="24"/>
        </w:rPr>
      </w:pPr>
    </w:p>
    <w:p w14:paraId="0FF94CB1" w14:textId="14C5FF92" w:rsidR="009A6F06" w:rsidRPr="000015A2" w:rsidRDefault="008021E0" w:rsidP="00656F0E">
      <w:pPr>
        <w:spacing w:after="0" w:line="360" w:lineRule="auto"/>
        <w:rPr>
          <w:rFonts w:ascii="Arial" w:hAnsi="Arial" w:cs="Arial"/>
          <w:sz w:val="24"/>
          <w:szCs w:val="24"/>
          <w:lang w:eastAsia="en-AU"/>
        </w:rPr>
      </w:pPr>
      <w:r>
        <w:rPr>
          <w:rFonts w:ascii="Arial" w:hAnsi="Arial" w:cs="Arial"/>
          <w:sz w:val="24"/>
          <w:szCs w:val="24"/>
        </w:rPr>
        <w:t xml:space="preserve">In most cases, these </w:t>
      </w:r>
      <w:r w:rsidRPr="00CD56F8">
        <w:rPr>
          <w:rFonts w:ascii="Arial" w:hAnsi="Arial" w:cs="Arial"/>
          <w:sz w:val="24"/>
          <w:szCs w:val="24"/>
        </w:rPr>
        <w:t xml:space="preserve">practices have legal authorisation. </w:t>
      </w:r>
      <w:r w:rsidRPr="00CD56F8">
        <w:rPr>
          <w:rFonts w:ascii="Arial" w:hAnsi="Arial" w:cs="Arial"/>
          <w:sz w:val="24"/>
          <w:szCs w:val="24"/>
          <w:lang w:eastAsia="en-AU"/>
        </w:rPr>
        <w:t xml:space="preserve">In its guidelines on Article 14 of the CRPD, the </w:t>
      </w:r>
      <w:r w:rsidRPr="00CD56F8">
        <w:rPr>
          <w:rFonts w:ascii="Arial" w:hAnsi="Arial" w:cs="Arial"/>
          <w:sz w:val="24"/>
          <w:szCs w:val="24"/>
        </w:rPr>
        <w:t xml:space="preserve">Committee on the Rights of Persons with Disabilities </w:t>
      </w:r>
      <w:r w:rsidRPr="00CD56F8">
        <w:rPr>
          <w:rFonts w:ascii="Arial" w:hAnsi="Arial" w:cs="Arial"/>
          <w:sz w:val="24"/>
          <w:szCs w:val="24"/>
          <w:lang w:eastAsia="en-AU"/>
        </w:rPr>
        <w:t xml:space="preserve">has called upon States parties to eliminate “the use of forced treatment, seclusion and various methods of restraint in medical facilities, including physical, chemical and mechanical restraints.” Relevant to the Draft General Comment, the </w:t>
      </w:r>
      <w:r w:rsidR="00802A21">
        <w:rPr>
          <w:rFonts w:ascii="Arial" w:hAnsi="Arial" w:cs="Arial"/>
          <w:sz w:val="24"/>
          <w:szCs w:val="24"/>
          <w:lang w:eastAsia="en-AU"/>
        </w:rPr>
        <w:t xml:space="preserve">CRPD </w:t>
      </w:r>
      <w:r w:rsidRPr="00CD56F8">
        <w:rPr>
          <w:rFonts w:ascii="Arial" w:hAnsi="Arial" w:cs="Arial"/>
          <w:sz w:val="24"/>
          <w:szCs w:val="24"/>
        </w:rPr>
        <w:t>Committee notes that these “</w:t>
      </w:r>
      <w:r w:rsidRPr="00CD56F8">
        <w:rPr>
          <w:rFonts w:ascii="Arial" w:hAnsi="Arial" w:cs="Arial"/>
          <w:sz w:val="24"/>
          <w:szCs w:val="24"/>
          <w:lang w:eastAsia="en-AU"/>
        </w:rPr>
        <w:t>practices are not consistent with the prohibition of torture and other cruel, inhuman or degrading treatment or punishment of persons with disabilities.”</w:t>
      </w:r>
      <w:r w:rsidRPr="00CD56F8">
        <w:rPr>
          <w:rStyle w:val="FootnoteReference"/>
          <w:rFonts w:ascii="Arial" w:hAnsi="Arial" w:cs="Arial"/>
          <w:sz w:val="24"/>
          <w:szCs w:val="24"/>
          <w:lang w:eastAsia="en-AU"/>
        </w:rPr>
        <w:footnoteReference w:id="7"/>
      </w:r>
      <w:r>
        <w:rPr>
          <w:rFonts w:ascii="Arial" w:hAnsi="Arial" w:cs="Arial"/>
          <w:sz w:val="24"/>
          <w:szCs w:val="24"/>
          <w:lang w:eastAsia="en-AU"/>
        </w:rPr>
        <w:t xml:space="preserve"> </w:t>
      </w:r>
    </w:p>
    <w:p w14:paraId="71A9B869" w14:textId="3BE969BD" w:rsidR="000015A2" w:rsidRPr="009F69AE" w:rsidRDefault="000015A2" w:rsidP="009F69AE">
      <w:pPr>
        <w:pStyle w:val="Heading1"/>
        <w:rPr>
          <w:rFonts w:ascii="Arial" w:hAnsi="Arial" w:cs="Arial"/>
          <w:b/>
          <w:bCs/>
        </w:rPr>
      </w:pPr>
      <w:bookmarkStart w:id="0" w:name="_Toc132112428"/>
      <w:r w:rsidRPr="009F69AE">
        <w:rPr>
          <w:rFonts w:ascii="Arial" w:eastAsia="Times New Roman" w:hAnsi="Arial" w:cs="Arial"/>
          <w:b/>
          <w:bCs/>
        </w:rPr>
        <w:t>Guidance in the General Comment on Disability</w:t>
      </w:r>
      <w:bookmarkEnd w:id="0"/>
    </w:p>
    <w:p w14:paraId="16432A45" w14:textId="29B95B9B" w:rsidR="009A6F06" w:rsidRPr="000015A2" w:rsidRDefault="009A6F06" w:rsidP="00656F0E">
      <w:pPr>
        <w:spacing w:after="0" w:line="360" w:lineRule="auto"/>
        <w:rPr>
          <w:rFonts w:ascii="Arial" w:hAnsi="Arial" w:cs="Arial"/>
          <w:sz w:val="24"/>
          <w:szCs w:val="24"/>
        </w:rPr>
      </w:pPr>
    </w:p>
    <w:p w14:paraId="602190CD" w14:textId="2EAD3249" w:rsidR="000015A2" w:rsidRPr="000015A2" w:rsidRDefault="000015A2" w:rsidP="00656F0E">
      <w:pPr>
        <w:spacing w:after="0" w:line="360" w:lineRule="auto"/>
        <w:rPr>
          <w:rFonts w:ascii="Arial" w:hAnsi="Arial" w:cs="Arial"/>
          <w:sz w:val="24"/>
          <w:szCs w:val="24"/>
          <w:lang w:eastAsia="en-AU"/>
        </w:rPr>
      </w:pPr>
      <w:r w:rsidRPr="000015A2">
        <w:rPr>
          <w:rFonts w:ascii="Arial" w:hAnsi="Arial" w:cs="Arial"/>
          <w:sz w:val="24"/>
          <w:szCs w:val="24"/>
          <w:lang w:eastAsia="en-AU"/>
        </w:rPr>
        <w:t xml:space="preserve">At present the Draft General Comment, while referring to a range of circumstances relevant to people with disability, does not explicitly discuss the unique factors which </w:t>
      </w:r>
      <w:r>
        <w:rPr>
          <w:rFonts w:ascii="Arial" w:hAnsi="Arial" w:cs="Arial"/>
          <w:sz w:val="24"/>
          <w:szCs w:val="24"/>
          <w:lang w:eastAsia="en-AU"/>
        </w:rPr>
        <w:t xml:space="preserve">underpin and </w:t>
      </w:r>
      <w:r w:rsidRPr="000015A2">
        <w:rPr>
          <w:rFonts w:ascii="Arial" w:hAnsi="Arial" w:cs="Arial"/>
          <w:sz w:val="24"/>
          <w:szCs w:val="24"/>
          <w:lang w:eastAsia="en-AU"/>
        </w:rPr>
        <w:t xml:space="preserve">shape the deprivation of liberty and treatment of people with disability. </w:t>
      </w:r>
    </w:p>
    <w:p w14:paraId="02BCFCFD" w14:textId="77777777" w:rsidR="000015A2" w:rsidRPr="000015A2" w:rsidRDefault="000015A2" w:rsidP="00656F0E">
      <w:pPr>
        <w:spacing w:after="0" w:line="360" w:lineRule="auto"/>
        <w:rPr>
          <w:rFonts w:ascii="Arial" w:hAnsi="Arial" w:cs="Arial"/>
          <w:sz w:val="24"/>
          <w:szCs w:val="24"/>
          <w:lang w:eastAsia="en-AU"/>
        </w:rPr>
      </w:pPr>
    </w:p>
    <w:p w14:paraId="571B6C38" w14:textId="77777777" w:rsidR="00666B2A" w:rsidRDefault="000015A2" w:rsidP="00656F0E">
      <w:pPr>
        <w:spacing w:after="0" w:line="360" w:lineRule="auto"/>
        <w:rPr>
          <w:rFonts w:ascii="Arial" w:hAnsi="Arial" w:cs="Arial"/>
          <w:sz w:val="24"/>
          <w:szCs w:val="24"/>
          <w:lang w:eastAsia="en-AU"/>
        </w:rPr>
      </w:pPr>
      <w:r w:rsidRPr="007D0D15">
        <w:rPr>
          <w:rFonts w:ascii="Arial" w:hAnsi="Arial" w:cs="Arial"/>
          <w:sz w:val="24"/>
          <w:szCs w:val="24"/>
          <w:lang w:eastAsia="en-AU"/>
        </w:rPr>
        <w:t xml:space="preserve">Of relevance, and as noted in the Draft General Comment, in many jurisdictions States parties have interpreted Article 4 of the OPCAT in a narrow way which has excluded several settings (including health and social care institutions), from the monitoring of National Preventative Mechanisms (NPMs). Given this context, we strongly urge the SPT to consider dedicated guidance within the General Comment on the obligations contained in Article 4 of the OPCAT that are relevant to people with disability. </w:t>
      </w:r>
    </w:p>
    <w:p w14:paraId="504BCE5B" w14:textId="77777777" w:rsidR="00666B2A" w:rsidRDefault="00666B2A" w:rsidP="00656F0E">
      <w:pPr>
        <w:spacing w:after="0" w:line="360" w:lineRule="auto"/>
        <w:rPr>
          <w:rFonts w:ascii="Arial" w:hAnsi="Arial" w:cs="Arial"/>
          <w:sz w:val="24"/>
          <w:szCs w:val="24"/>
          <w:lang w:eastAsia="en-AU"/>
        </w:rPr>
      </w:pPr>
    </w:p>
    <w:p w14:paraId="47ADA862" w14:textId="52137A68" w:rsidR="007D0D15" w:rsidRPr="007D0D15" w:rsidRDefault="000015A2" w:rsidP="00656F0E">
      <w:pPr>
        <w:spacing w:after="0" w:line="360" w:lineRule="auto"/>
        <w:rPr>
          <w:rFonts w:ascii="Arial" w:hAnsi="Arial" w:cs="Arial"/>
          <w:sz w:val="24"/>
          <w:szCs w:val="24"/>
          <w:lang w:eastAsia="en-AU"/>
        </w:rPr>
      </w:pPr>
      <w:r w:rsidRPr="007D0D15">
        <w:rPr>
          <w:rFonts w:ascii="Arial" w:hAnsi="Arial" w:cs="Arial"/>
          <w:sz w:val="24"/>
          <w:szCs w:val="24"/>
          <w:lang w:eastAsia="en-AU"/>
        </w:rPr>
        <w:t xml:space="preserve">The SPT itself, has </w:t>
      </w:r>
      <w:r w:rsidR="007D0D15" w:rsidRPr="007D0D15">
        <w:rPr>
          <w:rFonts w:ascii="Arial" w:hAnsi="Arial" w:cs="Arial"/>
          <w:sz w:val="24"/>
          <w:szCs w:val="24"/>
          <w:lang w:eastAsia="en-AU"/>
        </w:rPr>
        <w:t xml:space="preserve">said that </w:t>
      </w:r>
      <w:r w:rsidR="00E97F21">
        <w:rPr>
          <w:rFonts w:ascii="Arial" w:hAnsi="Arial" w:cs="Arial"/>
          <w:sz w:val="24"/>
          <w:szCs w:val="24"/>
          <w:lang w:eastAsia="en-AU"/>
        </w:rPr>
        <w:t>“</w:t>
      </w:r>
      <w:r w:rsidR="007D0D15" w:rsidRPr="007D0D15">
        <w:rPr>
          <w:rFonts w:ascii="Arial" w:hAnsi="Arial" w:cs="Arial"/>
          <w:sz w:val="24"/>
          <w:szCs w:val="24"/>
          <w:lang w:eastAsia="en-AU"/>
        </w:rPr>
        <w:t>the duty to prevent is “wide-ranging” and has indicated that the content of that duty is not static since “the Committee’s understanding of and recommendations in respect of effective measures are in a process of continual evolution” and so are “not limited to those measures contained in the subsequent articles 3 to 16.”</w:t>
      </w:r>
      <w:r w:rsidR="0025666B">
        <w:rPr>
          <w:rStyle w:val="FootnoteReference"/>
          <w:rFonts w:ascii="Arial" w:hAnsi="Arial" w:cs="Arial"/>
          <w:sz w:val="24"/>
          <w:szCs w:val="24"/>
          <w:lang w:eastAsia="en-AU"/>
        </w:rPr>
        <w:footnoteReference w:id="8"/>
      </w:r>
      <w:r w:rsidR="007D0D15" w:rsidRPr="007D0D15">
        <w:rPr>
          <w:rFonts w:ascii="Arial" w:hAnsi="Arial" w:cs="Arial"/>
          <w:sz w:val="24"/>
          <w:szCs w:val="24"/>
          <w:lang w:eastAsia="en-AU"/>
        </w:rPr>
        <w:t xml:space="preserve"> </w:t>
      </w:r>
    </w:p>
    <w:p w14:paraId="32D28EC4" w14:textId="77777777" w:rsidR="000015A2" w:rsidRPr="007D0D15" w:rsidRDefault="000015A2" w:rsidP="00656F0E">
      <w:pPr>
        <w:spacing w:after="0" w:line="360" w:lineRule="auto"/>
        <w:rPr>
          <w:rFonts w:ascii="Arial" w:hAnsi="Arial" w:cs="Arial"/>
          <w:sz w:val="24"/>
          <w:szCs w:val="24"/>
          <w:lang w:eastAsia="en-AU"/>
        </w:rPr>
      </w:pPr>
    </w:p>
    <w:p w14:paraId="52BBC65A" w14:textId="36159F89" w:rsidR="000015A2" w:rsidRPr="000015A2" w:rsidRDefault="000015A2" w:rsidP="00656F0E">
      <w:pPr>
        <w:spacing w:after="0" w:line="360" w:lineRule="auto"/>
        <w:rPr>
          <w:rFonts w:ascii="Arial" w:hAnsi="Arial" w:cs="Arial"/>
          <w:sz w:val="24"/>
          <w:szCs w:val="24"/>
          <w:lang w:eastAsia="en-AU"/>
        </w:rPr>
      </w:pPr>
      <w:r w:rsidRPr="000015A2">
        <w:rPr>
          <w:rFonts w:ascii="Arial" w:hAnsi="Arial" w:cs="Arial"/>
          <w:sz w:val="24"/>
          <w:szCs w:val="24"/>
          <w:lang w:eastAsia="en-AU"/>
        </w:rPr>
        <w:t>We also strongly recommend a wider interpretation of settings that move beyond health and social care, noting that some people with disability, as a result of substitute decision-making regimes</w:t>
      </w:r>
      <w:r w:rsidR="009E5C2C">
        <w:rPr>
          <w:rFonts w:ascii="Arial" w:hAnsi="Arial" w:cs="Arial"/>
          <w:sz w:val="24"/>
          <w:szCs w:val="24"/>
          <w:lang w:eastAsia="en-AU"/>
        </w:rPr>
        <w:t>, use of restrictive practices</w:t>
      </w:r>
      <w:r w:rsidRPr="000015A2">
        <w:rPr>
          <w:rFonts w:ascii="Arial" w:hAnsi="Arial" w:cs="Arial"/>
          <w:sz w:val="24"/>
          <w:szCs w:val="24"/>
          <w:lang w:eastAsia="en-AU"/>
        </w:rPr>
        <w:t xml:space="preserve"> and forced treatment, may be effectively “not permitted to leave at will” within other settings such as education or segregated employment services. </w:t>
      </w:r>
    </w:p>
    <w:p w14:paraId="08B539AC" w14:textId="77777777" w:rsidR="000015A2" w:rsidRPr="000015A2" w:rsidRDefault="000015A2" w:rsidP="00656F0E">
      <w:pPr>
        <w:spacing w:after="0" w:line="360" w:lineRule="auto"/>
        <w:rPr>
          <w:rFonts w:ascii="Arial" w:hAnsi="Arial" w:cs="Arial"/>
          <w:sz w:val="24"/>
          <w:szCs w:val="24"/>
          <w:lang w:eastAsia="en-AU"/>
        </w:rPr>
      </w:pPr>
    </w:p>
    <w:p w14:paraId="02761D88" w14:textId="77777777" w:rsidR="004117F2" w:rsidRDefault="000015A2" w:rsidP="00656F0E">
      <w:pPr>
        <w:spacing w:after="0" w:line="360" w:lineRule="auto"/>
        <w:rPr>
          <w:rFonts w:ascii="Arial" w:hAnsi="Arial" w:cs="Arial"/>
          <w:sz w:val="24"/>
          <w:szCs w:val="24"/>
        </w:rPr>
      </w:pPr>
      <w:r w:rsidRPr="000015A2">
        <w:rPr>
          <w:rFonts w:ascii="Arial" w:hAnsi="Arial" w:cs="Arial"/>
          <w:sz w:val="24"/>
          <w:szCs w:val="24"/>
          <w:lang w:eastAsia="en-AU"/>
        </w:rPr>
        <w:t xml:space="preserve">We note that the Draft General Comment at present does not contain a “gender lens” and thus does not draw attention to the particular implications of Article 4 of the OPCAT for women, girls, feminine identifying and non-binary people. </w:t>
      </w:r>
      <w:r w:rsidR="004117F2" w:rsidRPr="00CD56F8">
        <w:rPr>
          <w:rFonts w:ascii="Arial" w:hAnsi="Arial" w:cs="Arial"/>
          <w:sz w:val="24"/>
          <w:szCs w:val="24"/>
          <w:lang w:eastAsia="en-AU"/>
        </w:rPr>
        <w:t xml:space="preserve">For example, and relevant to women and girls with disability, the </w:t>
      </w:r>
      <w:r w:rsidR="004117F2" w:rsidRPr="00CD56F8">
        <w:rPr>
          <w:rFonts w:ascii="Arial" w:hAnsi="Arial" w:cs="Arial"/>
          <w:sz w:val="24"/>
          <w:szCs w:val="24"/>
        </w:rPr>
        <w:t>Committee on the Rights of Persons with Disabilities has observed that “women with disabilities are subjected to high rates of forced sterilization” and that some jurisdictions “have higher rates of imposing substitute decision-makers on women than on men.”</w:t>
      </w:r>
      <w:r w:rsidR="004117F2" w:rsidRPr="00CD56F8">
        <w:rPr>
          <w:rStyle w:val="FootnoteReference"/>
          <w:rFonts w:ascii="Arial" w:hAnsi="Arial" w:cs="Arial"/>
          <w:sz w:val="24"/>
          <w:szCs w:val="24"/>
        </w:rPr>
        <w:footnoteReference w:id="9"/>
      </w:r>
      <w:r w:rsidR="004117F2" w:rsidRPr="00CD56F8">
        <w:rPr>
          <w:rFonts w:ascii="Arial" w:hAnsi="Arial" w:cs="Arial"/>
          <w:sz w:val="24"/>
          <w:szCs w:val="24"/>
        </w:rPr>
        <w:t xml:space="preserve"> </w:t>
      </w:r>
    </w:p>
    <w:p w14:paraId="0857A142" w14:textId="77777777" w:rsidR="004117F2" w:rsidRDefault="004117F2" w:rsidP="00656F0E">
      <w:pPr>
        <w:spacing w:after="0" w:line="360" w:lineRule="auto"/>
        <w:rPr>
          <w:rFonts w:ascii="Arial" w:hAnsi="Arial" w:cs="Arial"/>
          <w:sz w:val="24"/>
          <w:szCs w:val="24"/>
        </w:rPr>
      </w:pPr>
    </w:p>
    <w:p w14:paraId="2B724032" w14:textId="1DD21661" w:rsidR="000015A2" w:rsidRPr="000015A2" w:rsidRDefault="00524767" w:rsidP="00656F0E">
      <w:pPr>
        <w:spacing w:after="0" w:line="360" w:lineRule="auto"/>
        <w:rPr>
          <w:rFonts w:ascii="Arial" w:hAnsi="Arial" w:cs="Arial"/>
          <w:sz w:val="24"/>
          <w:szCs w:val="24"/>
          <w:lang w:eastAsia="en-AU"/>
        </w:rPr>
      </w:pPr>
      <w:r>
        <w:rPr>
          <w:rFonts w:ascii="Arial" w:hAnsi="Arial" w:cs="Arial"/>
          <w:sz w:val="24"/>
          <w:szCs w:val="24"/>
          <w:lang w:eastAsia="en-AU"/>
        </w:rPr>
        <w:t>The SPT has acknowledged the lack of a gender-approach in addressing the prevention of torture and ill treatment,</w:t>
      </w:r>
      <w:r>
        <w:rPr>
          <w:rStyle w:val="FootnoteReference"/>
          <w:rFonts w:ascii="Arial" w:hAnsi="Arial" w:cs="Arial"/>
          <w:sz w:val="24"/>
          <w:szCs w:val="24"/>
          <w:lang w:eastAsia="en-AU"/>
        </w:rPr>
        <w:footnoteReference w:id="10"/>
      </w:r>
      <w:r>
        <w:rPr>
          <w:rFonts w:ascii="Arial" w:hAnsi="Arial" w:cs="Arial"/>
          <w:sz w:val="24"/>
          <w:szCs w:val="24"/>
          <w:lang w:eastAsia="en-AU"/>
        </w:rPr>
        <w:t xml:space="preserve"> recognising that torture and ill treatment of women occurs in a variety of situations… and that </w:t>
      </w:r>
      <w:r w:rsidRPr="00524767">
        <w:rPr>
          <w:rFonts w:ascii="Arial" w:hAnsi="Arial" w:cs="Arial"/>
          <w:sz w:val="24"/>
          <w:szCs w:val="24"/>
          <w:lang w:eastAsia="en-AU"/>
        </w:rPr>
        <w:t xml:space="preserve">it is </w:t>
      </w:r>
      <w:r>
        <w:rPr>
          <w:rFonts w:ascii="Arial" w:hAnsi="Arial" w:cs="Arial"/>
          <w:sz w:val="24"/>
          <w:szCs w:val="24"/>
          <w:lang w:eastAsia="en-AU"/>
        </w:rPr>
        <w:t>“</w:t>
      </w:r>
      <w:r w:rsidRPr="00524767">
        <w:rPr>
          <w:rFonts w:ascii="Arial" w:hAnsi="Arial" w:cs="Arial"/>
          <w:sz w:val="24"/>
          <w:szCs w:val="24"/>
          <w:lang w:eastAsia="en-AU"/>
        </w:rPr>
        <w:t>the responsibility of States parties to prevent acts of torture and ill-treatment in all</w:t>
      </w:r>
      <w:r>
        <w:rPr>
          <w:rFonts w:ascii="Arial" w:hAnsi="Arial" w:cs="Arial"/>
          <w:sz w:val="24"/>
          <w:szCs w:val="24"/>
          <w:lang w:eastAsia="en-AU"/>
        </w:rPr>
        <w:t xml:space="preserve"> </w:t>
      </w:r>
      <w:r w:rsidRPr="00524767">
        <w:rPr>
          <w:rFonts w:ascii="Arial" w:hAnsi="Arial" w:cs="Arial"/>
          <w:sz w:val="24"/>
          <w:szCs w:val="24"/>
          <w:lang w:eastAsia="en-AU"/>
        </w:rPr>
        <w:t>contexts of deprivation or restriction of liberty</w:t>
      </w:r>
      <w:r>
        <w:rPr>
          <w:rFonts w:ascii="Arial" w:hAnsi="Arial" w:cs="Arial"/>
          <w:sz w:val="24"/>
          <w:szCs w:val="24"/>
          <w:lang w:eastAsia="en-AU"/>
        </w:rPr>
        <w:t>…”</w:t>
      </w:r>
      <w:r>
        <w:rPr>
          <w:rStyle w:val="FootnoteReference"/>
          <w:rFonts w:ascii="Arial" w:hAnsi="Arial" w:cs="Arial"/>
          <w:sz w:val="24"/>
          <w:szCs w:val="24"/>
          <w:lang w:eastAsia="en-AU"/>
        </w:rPr>
        <w:footnoteReference w:id="11"/>
      </w:r>
      <w:r>
        <w:rPr>
          <w:rFonts w:ascii="Arial" w:hAnsi="Arial" w:cs="Arial"/>
          <w:sz w:val="24"/>
          <w:szCs w:val="24"/>
          <w:lang w:eastAsia="en-AU"/>
        </w:rPr>
        <w:t xml:space="preserve">. </w:t>
      </w:r>
    </w:p>
    <w:p w14:paraId="5915874B" w14:textId="77777777" w:rsidR="000015A2" w:rsidRPr="000015A2" w:rsidRDefault="000015A2" w:rsidP="00656F0E">
      <w:pPr>
        <w:spacing w:after="0" w:line="360" w:lineRule="auto"/>
        <w:rPr>
          <w:rFonts w:ascii="Arial" w:hAnsi="Arial" w:cs="Arial"/>
          <w:sz w:val="24"/>
          <w:szCs w:val="24"/>
          <w:lang w:eastAsia="en-AU"/>
        </w:rPr>
      </w:pPr>
    </w:p>
    <w:p w14:paraId="527D8EF8" w14:textId="77777777" w:rsidR="004117F2" w:rsidRPr="00CD56F8" w:rsidRDefault="004117F2" w:rsidP="00656F0E">
      <w:pPr>
        <w:spacing w:after="0" w:line="360" w:lineRule="auto"/>
        <w:rPr>
          <w:rFonts w:ascii="Arial" w:hAnsi="Arial" w:cs="Arial"/>
          <w:sz w:val="24"/>
          <w:szCs w:val="24"/>
        </w:rPr>
      </w:pPr>
      <w:r w:rsidRPr="00CD56F8">
        <w:rPr>
          <w:rFonts w:ascii="Arial" w:hAnsi="Arial" w:cs="Arial"/>
          <w:sz w:val="24"/>
          <w:szCs w:val="24"/>
        </w:rPr>
        <w:t xml:space="preserve">We recommend that the General Comment include specific focus on </w:t>
      </w:r>
      <w:r w:rsidRPr="00CD56F8">
        <w:rPr>
          <w:rFonts w:ascii="Arial" w:hAnsi="Arial" w:cs="Arial"/>
          <w:sz w:val="24"/>
          <w:szCs w:val="24"/>
          <w:lang w:eastAsia="en-AU"/>
        </w:rPr>
        <w:t xml:space="preserve">the implications of Article 4 of the OPCAT for women, girls, feminine identifying and non-binary people. </w:t>
      </w:r>
    </w:p>
    <w:p w14:paraId="35E29656" w14:textId="77777777" w:rsidR="004117F2" w:rsidRPr="00CD56F8" w:rsidRDefault="004117F2" w:rsidP="00656F0E">
      <w:pPr>
        <w:spacing w:after="0" w:line="360" w:lineRule="auto"/>
        <w:rPr>
          <w:rFonts w:ascii="Arial" w:hAnsi="Arial" w:cs="Arial"/>
          <w:sz w:val="24"/>
          <w:szCs w:val="24"/>
        </w:rPr>
      </w:pPr>
    </w:p>
    <w:p w14:paraId="46FC082C" w14:textId="30B96842" w:rsidR="009A6F06" w:rsidRPr="000015A2" w:rsidRDefault="004117F2" w:rsidP="00656F0E">
      <w:pPr>
        <w:spacing w:after="0" w:line="360" w:lineRule="auto"/>
        <w:rPr>
          <w:rFonts w:ascii="Arial" w:hAnsi="Arial" w:cs="Arial"/>
          <w:sz w:val="24"/>
          <w:szCs w:val="24"/>
        </w:rPr>
      </w:pPr>
      <w:r w:rsidRPr="00CD56F8">
        <w:rPr>
          <w:rFonts w:ascii="Arial" w:hAnsi="Arial" w:cs="Arial"/>
          <w:sz w:val="24"/>
          <w:szCs w:val="24"/>
        </w:rPr>
        <w:t xml:space="preserve">Finally, we note that the Draft General Comment makes an explicit reference to “privately owned or rented housing for persons with intellectual disabilities” (p9). We recommend this be amended to “persons with disabilities,” as the example is applicable to all people with disability, and thus risks a narrower interpretation in its current form. </w:t>
      </w:r>
    </w:p>
    <w:p w14:paraId="197AB372" w14:textId="2B536119" w:rsidR="00182D74" w:rsidRPr="00F94D97" w:rsidRDefault="00182D74" w:rsidP="00F94D97">
      <w:pPr>
        <w:pStyle w:val="Heading1"/>
        <w:rPr>
          <w:rFonts w:ascii="Arial" w:hAnsi="Arial" w:cs="Arial"/>
          <w:b/>
          <w:bCs/>
          <w:sz w:val="24"/>
          <w:szCs w:val="24"/>
        </w:rPr>
      </w:pPr>
      <w:r w:rsidRPr="00F94D97">
        <w:rPr>
          <w:rFonts w:ascii="Arial" w:eastAsia="Times New Roman" w:hAnsi="Arial" w:cs="Arial"/>
          <w:b/>
          <w:bCs/>
        </w:rPr>
        <w:t xml:space="preserve">Substitute decision-making regimes and context of deprivation of </w:t>
      </w:r>
      <w:proofErr w:type="gramStart"/>
      <w:r w:rsidRPr="00F94D97">
        <w:rPr>
          <w:rFonts w:ascii="Arial" w:eastAsia="Times New Roman" w:hAnsi="Arial" w:cs="Arial"/>
          <w:b/>
          <w:bCs/>
        </w:rPr>
        <w:t>liberty</w:t>
      </w:r>
      <w:proofErr w:type="gramEnd"/>
    </w:p>
    <w:p w14:paraId="1C144B13" w14:textId="38C0B40E" w:rsidR="009A6F06" w:rsidRDefault="009A6F06" w:rsidP="00656F0E">
      <w:pPr>
        <w:spacing w:after="0" w:line="360" w:lineRule="auto"/>
        <w:rPr>
          <w:rFonts w:ascii="Arial" w:hAnsi="Arial" w:cs="Arial"/>
          <w:sz w:val="24"/>
          <w:szCs w:val="24"/>
        </w:rPr>
      </w:pPr>
    </w:p>
    <w:p w14:paraId="42D6C83B" w14:textId="77777777" w:rsidR="00182D74" w:rsidRDefault="00182D74" w:rsidP="00656F0E">
      <w:pPr>
        <w:spacing w:after="0" w:line="360" w:lineRule="auto"/>
        <w:rPr>
          <w:rFonts w:ascii="Arial" w:hAnsi="Arial" w:cs="Arial"/>
          <w:sz w:val="24"/>
          <w:szCs w:val="24"/>
        </w:rPr>
      </w:pPr>
      <w:r w:rsidRPr="00CD56F8">
        <w:rPr>
          <w:rFonts w:ascii="Arial" w:hAnsi="Arial" w:cs="Arial"/>
          <w:sz w:val="24"/>
          <w:szCs w:val="24"/>
        </w:rPr>
        <w:t>As detailed above, in many jurisdictions people with disability are subject to substitute decision-making regimes such as guardianship, conservatorship and health laws that permit forced treatment which are at odds with obligations to prevent torture and ill-treatment.</w:t>
      </w:r>
    </w:p>
    <w:p w14:paraId="44CC5A52" w14:textId="77777777" w:rsidR="00182D74" w:rsidRPr="00CD56F8" w:rsidRDefault="00182D74" w:rsidP="00656F0E">
      <w:pPr>
        <w:spacing w:after="0" w:line="360" w:lineRule="auto"/>
        <w:rPr>
          <w:rFonts w:ascii="Arial" w:hAnsi="Arial" w:cs="Arial"/>
          <w:sz w:val="24"/>
          <w:szCs w:val="24"/>
        </w:rPr>
      </w:pPr>
    </w:p>
    <w:p w14:paraId="6EB1E24A" w14:textId="77777777" w:rsidR="00182D74" w:rsidRDefault="00182D74" w:rsidP="00656F0E">
      <w:pPr>
        <w:spacing w:after="0" w:line="360" w:lineRule="auto"/>
        <w:rPr>
          <w:rFonts w:ascii="Arial" w:hAnsi="Arial" w:cs="Arial"/>
          <w:sz w:val="24"/>
          <w:szCs w:val="24"/>
        </w:rPr>
      </w:pPr>
      <w:r w:rsidRPr="00CD56F8">
        <w:rPr>
          <w:rFonts w:ascii="Arial" w:hAnsi="Arial" w:cs="Arial"/>
          <w:sz w:val="24"/>
          <w:szCs w:val="24"/>
        </w:rPr>
        <w:t>As noted in the Draft General Comment, Article 4 of the OPCAT contains a number of elements which pertain to the definition of “deprivation of liberty”; namely, as described in Article 4(2) of the OPCAT</w:t>
      </w:r>
      <w:r>
        <w:rPr>
          <w:rFonts w:ascii="Arial" w:hAnsi="Arial" w:cs="Arial"/>
          <w:sz w:val="24"/>
          <w:szCs w:val="24"/>
        </w:rPr>
        <w:t xml:space="preserve"> as</w:t>
      </w:r>
      <w:r w:rsidRPr="00CD56F8">
        <w:rPr>
          <w:rFonts w:ascii="Arial" w:hAnsi="Arial" w:cs="Arial"/>
          <w:sz w:val="24"/>
          <w:szCs w:val="24"/>
        </w:rPr>
        <w:t xml:space="preserve"> “any form of detention or imprisonment or the placement of a </w:t>
      </w:r>
      <w:r w:rsidRPr="00CD56F8">
        <w:rPr>
          <w:rFonts w:ascii="Arial" w:hAnsi="Arial" w:cs="Arial"/>
          <w:sz w:val="24"/>
          <w:szCs w:val="24"/>
        </w:rPr>
        <w:lastRenderedPageBreak/>
        <w:t xml:space="preserve">person in a public or private custodial setting which that person is not permitted to leave at will by order of any judicial, administrative or other authority.” </w:t>
      </w:r>
    </w:p>
    <w:p w14:paraId="39431D4E" w14:textId="77777777" w:rsidR="00182D74" w:rsidRDefault="00182D74" w:rsidP="00656F0E">
      <w:pPr>
        <w:spacing w:after="0" w:line="360" w:lineRule="auto"/>
        <w:rPr>
          <w:rFonts w:ascii="Arial" w:hAnsi="Arial" w:cs="Arial"/>
          <w:sz w:val="24"/>
          <w:szCs w:val="24"/>
        </w:rPr>
      </w:pPr>
    </w:p>
    <w:p w14:paraId="5EC80CE1" w14:textId="77777777" w:rsidR="00182D74" w:rsidRDefault="00182D74" w:rsidP="00656F0E">
      <w:pPr>
        <w:spacing w:after="0" w:line="360" w:lineRule="auto"/>
        <w:rPr>
          <w:rFonts w:ascii="Arial" w:hAnsi="Arial" w:cs="Arial"/>
          <w:sz w:val="24"/>
          <w:szCs w:val="24"/>
        </w:rPr>
      </w:pPr>
      <w:r w:rsidRPr="00CD56F8">
        <w:rPr>
          <w:rFonts w:ascii="Arial" w:hAnsi="Arial" w:cs="Arial"/>
          <w:sz w:val="24"/>
          <w:szCs w:val="24"/>
        </w:rPr>
        <w:t xml:space="preserve">As noted in the Draft General Comment, these elements must be read with Article 4(1) of the OPCAT. It is also worth emphasising that Article 4 of the OPCAT must be read in context of Article 1 of the OPCAT which sets out the purpose of the instrument, namely, to establish a monitoring process of those deprived of their liberty to prevent torture and other cruel, inhuman or degrading treatment or punishment. </w:t>
      </w:r>
    </w:p>
    <w:p w14:paraId="53C84ADC" w14:textId="77777777" w:rsidR="00182D74" w:rsidRPr="000015A2" w:rsidRDefault="00182D74" w:rsidP="00656F0E">
      <w:pPr>
        <w:spacing w:after="0" w:line="360" w:lineRule="auto"/>
        <w:rPr>
          <w:rFonts w:ascii="Arial" w:hAnsi="Arial" w:cs="Arial"/>
          <w:sz w:val="24"/>
          <w:szCs w:val="24"/>
        </w:rPr>
      </w:pPr>
    </w:p>
    <w:p w14:paraId="1FB15671" w14:textId="655262D0" w:rsidR="00182D74" w:rsidRPr="000015A2" w:rsidRDefault="00182D74" w:rsidP="00656F0E">
      <w:pPr>
        <w:spacing w:after="0" w:line="360" w:lineRule="auto"/>
        <w:rPr>
          <w:rFonts w:ascii="Arial" w:hAnsi="Arial" w:cs="Arial"/>
          <w:sz w:val="24"/>
          <w:szCs w:val="24"/>
          <w:lang w:eastAsia="en-AU"/>
        </w:rPr>
      </w:pPr>
      <w:r w:rsidRPr="00CD56F8">
        <w:rPr>
          <w:rFonts w:ascii="Arial" w:hAnsi="Arial" w:cs="Arial"/>
          <w:sz w:val="24"/>
          <w:szCs w:val="24"/>
        </w:rPr>
        <w:t>In this context, while “places of detention” provide a focus point for the visit of mechanisms, it must be emphasised that the purpose of the OPCAT is to establish monitoring process</w:t>
      </w:r>
      <w:r>
        <w:rPr>
          <w:rFonts w:ascii="Arial" w:hAnsi="Arial" w:cs="Arial"/>
          <w:sz w:val="24"/>
          <w:szCs w:val="24"/>
        </w:rPr>
        <w:t>es</w:t>
      </w:r>
      <w:r w:rsidRPr="00CD56F8">
        <w:rPr>
          <w:rFonts w:ascii="Arial" w:hAnsi="Arial" w:cs="Arial"/>
          <w:sz w:val="24"/>
          <w:szCs w:val="24"/>
        </w:rPr>
        <w:t xml:space="preserve"> to prevent torture and ill-treatment</w:t>
      </w:r>
      <w:r w:rsidR="00C3063E">
        <w:rPr>
          <w:rFonts w:ascii="Arial" w:hAnsi="Arial" w:cs="Arial"/>
          <w:sz w:val="24"/>
          <w:szCs w:val="24"/>
        </w:rPr>
        <w:t xml:space="preserve">. For this </w:t>
      </w:r>
      <w:r w:rsidR="00AB709D">
        <w:rPr>
          <w:rFonts w:ascii="Arial" w:hAnsi="Arial" w:cs="Arial"/>
          <w:sz w:val="24"/>
          <w:szCs w:val="24"/>
        </w:rPr>
        <w:t>reason,</w:t>
      </w:r>
      <w:r w:rsidRPr="00CD56F8">
        <w:rPr>
          <w:rFonts w:ascii="Arial" w:hAnsi="Arial" w:cs="Arial"/>
          <w:sz w:val="24"/>
          <w:szCs w:val="24"/>
        </w:rPr>
        <w:t xml:space="preserve"> a wide, rather than narrower, interpretation of “places of detention” is called for. </w:t>
      </w:r>
      <w:r>
        <w:rPr>
          <w:rFonts w:ascii="Arial" w:hAnsi="Arial" w:cs="Arial"/>
          <w:sz w:val="24"/>
          <w:szCs w:val="24"/>
          <w:lang w:eastAsia="en-AU"/>
        </w:rPr>
        <w:t>The SPT has stated that “</w:t>
      </w:r>
      <w:r w:rsidRPr="00524767">
        <w:rPr>
          <w:rFonts w:ascii="Arial" w:hAnsi="Arial" w:cs="Arial"/>
          <w:sz w:val="24"/>
          <w:szCs w:val="24"/>
          <w:lang w:eastAsia="en-AU"/>
        </w:rPr>
        <w:t>the obligation to prevent torture and ill- treatment should embrace “as many as possible of those things which in a given situation can contribute towards the lessening of the likelihood or risk of torture or ill- treatment occurring</w:t>
      </w:r>
      <w:r>
        <w:rPr>
          <w:rFonts w:ascii="Arial" w:hAnsi="Arial" w:cs="Arial"/>
          <w:sz w:val="24"/>
          <w:szCs w:val="24"/>
          <w:lang w:eastAsia="en-AU"/>
        </w:rPr>
        <w:t>…”</w:t>
      </w:r>
      <w:r w:rsidR="004D1B67">
        <w:rPr>
          <w:rFonts w:ascii="Arial" w:hAnsi="Arial" w:cs="Arial"/>
          <w:sz w:val="24"/>
          <w:szCs w:val="24"/>
          <w:lang w:eastAsia="en-AU"/>
        </w:rPr>
        <w:t xml:space="preserve"> ”</w:t>
      </w:r>
      <w:r>
        <w:rPr>
          <w:rStyle w:val="FootnoteReference"/>
          <w:rFonts w:ascii="Arial" w:hAnsi="Arial" w:cs="Arial"/>
          <w:sz w:val="24"/>
          <w:szCs w:val="24"/>
          <w:lang w:eastAsia="en-AU"/>
        </w:rPr>
        <w:footnoteReference w:id="12"/>
      </w:r>
    </w:p>
    <w:p w14:paraId="085A19F5" w14:textId="714DE04D" w:rsidR="00182D74" w:rsidRDefault="00182D74" w:rsidP="00656F0E">
      <w:pPr>
        <w:spacing w:after="0" w:line="360" w:lineRule="auto"/>
        <w:rPr>
          <w:rFonts w:ascii="Arial" w:hAnsi="Arial" w:cs="Arial"/>
          <w:sz w:val="24"/>
          <w:szCs w:val="24"/>
        </w:rPr>
      </w:pPr>
    </w:p>
    <w:p w14:paraId="11A68DB4" w14:textId="75323507" w:rsidR="00182D74" w:rsidRDefault="00182D74" w:rsidP="00656F0E">
      <w:pPr>
        <w:spacing w:after="0" w:line="360" w:lineRule="auto"/>
        <w:rPr>
          <w:rFonts w:ascii="Arial" w:hAnsi="Arial" w:cs="Arial"/>
          <w:sz w:val="24"/>
          <w:szCs w:val="24"/>
        </w:rPr>
      </w:pPr>
      <w:r w:rsidRPr="00CD56F8">
        <w:rPr>
          <w:rFonts w:ascii="Arial" w:hAnsi="Arial" w:cs="Arial"/>
          <w:sz w:val="24"/>
          <w:szCs w:val="24"/>
        </w:rPr>
        <w:t xml:space="preserve">Substitute decision-making regimes interact with the definition of “deprivation of liberty” described in Article 4. Substitute decision-making arises as a result of “an order given by a public authority or at its instigation or with its consent or acquiescence.” Substitute decision-making regimes are </w:t>
      </w:r>
      <w:r>
        <w:rPr>
          <w:rFonts w:ascii="Arial" w:hAnsi="Arial" w:cs="Arial"/>
          <w:sz w:val="24"/>
          <w:szCs w:val="24"/>
        </w:rPr>
        <w:t>recognised as a</w:t>
      </w:r>
      <w:r w:rsidRPr="00CD56F8">
        <w:rPr>
          <w:rFonts w:ascii="Arial" w:hAnsi="Arial" w:cs="Arial"/>
          <w:sz w:val="24"/>
          <w:szCs w:val="24"/>
        </w:rPr>
        <w:t xml:space="preserve"> pathway to the “deprivation of liberty” described in Article 4 (2). </w:t>
      </w:r>
    </w:p>
    <w:p w14:paraId="3D96F946" w14:textId="77777777" w:rsidR="00182D74" w:rsidRDefault="00182D74" w:rsidP="00656F0E">
      <w:pPr>
        <w:spacing w:after="0" w:line="360" w:lineRule="auto"/>
        <w:rPr>
          <w:rFonts w:ascii="Arial" w:hAnsi="Arial" w:cs="Arial"/>
          <w:sz w:val="24"/>
          <w:szCs w:val="24"/>
        </w:rPr>
      </w:pPr>
    </w:p>
    <w:p w14:paraId="63E5C5D3" w14:textId="67715369" w:rsidR="00182D74" w:rsidRDefault="00182D74" w:rsidP="00656F0E">
      <w:pPr>
        <w:spacing w:after="0" w:line="360" w:lineRule="auto"/>
        <w:rPr>
          <w:rFonts w:ascii="Arial" w:hAnsi="Arial" w:cs="Arial"/>
          <w:sz w:val="24"/>
          <w:szCs w:val="24"/>
        </w:rPr>
      </w:pPr>
      <w:r w:rsidRPr="00CD56F8">
        <w:rPr>
          <w:rFonts w:ascii="Arial" w:hAnsi="Arial" w:cs="Arial"/>
          <w:sz w:val="24"/>
          <w:szCs w:val="24"/>
        </w:rPr>
        <w:t xml:space="preserve">In some jurisdictions, substitute decision-making regimes effectively prevent people with disability the opportunity to “leave at will.” </w:t>
      </w:r>
      <w:r w:rsidR="009448B2">
        <w:rPr>
          <w:rFonts w:ascii="Arial" w:hAnsi="Arial" w:cs="Arial"/>
          <w:sz w:val="24"/>
          <w:szCs w:val="24"/>
        </w:rPr>
        <w:t xml:space="preserve">For example, they might enable doors to be locked or for facility staff to contact police to forcibly return people who leave. </w:t>
      </w:r>
      <w:r w:rsidRPr="00CD56F8">
        <w:rPr>
          <w:rFonts w:ascii="Arial" w:hAnsi="Arial" w:cs="Arial"/>
          <w:sz w:val="24"/>
          <w:szCs w:val="24"/>
        </w:rPr>
        <w:t xml:space="preserve">In the context of institutionalisation and segregation, substitute decision-making regimes can result in circumstances where people with disability are obliged to </w:t>
      </w:r>
      <w:r>
        <w:rPr>
          <w:rFonts w:ascii="Arial" w:hAnsi="Arial" w:cs="Arial"/>
          <w:sz w:val="24"/>
          <w:szCs w:val="24"/>
        </w:rPr>
        <w:t>reside</w:t>
      </w:r>
      <w:r w:rsidRPr="00CD56F8">
        <w:rPr>
          <w:rFonts w:ascii="Arial" w:hAnsi="Arial" w:cs="Arial"/>
          <w:sz w:val="24"/>
          <w:szCs w:val="24"/>
        </w:rPr>
        <w:t xml:space="preserve"> in living arrangements against their preferences. </w:t>
      </w:r>
    </w:p>
    <w:p w14:paraId="00E30FDD" w14:textId="77777777" w:rsidR="00182D74" w:rsidRDefault="00182D74" w:rsidP="00656F0E">
      <w:pPr>
        <w:spacing w:after="0" w:line="360" w:lineRule="auto"/>
        <w:rPr>
          <w:rFonts w:ascii="Arial" w:hAnsi="Arial" w:cs="Arial"/>
          <w:sz w:val="24"/>
          <w:szCs w:val="24"/>
        </w:rPr>
      </w:pPr>
    </w:p>
    <w:p w14:paraId="21E44D74" w14:textId="77777777" w:rsidR="00182D74" w:rsidRDefault="00182D74" w:rsidP="00656F0E">
      <w:pPr>
        <w:spacing w:after="0" w:line="360" w:lineRule="auto"/>
        <w:rPr>
          <w:rFonts w:ascii="Arial" w:hAnsi="Arial" w:cs="Arial"/>
          <w:sz w:val="24"/>
          <w:szCs w:val="24"/>
        </w:rPr>
      </w:pPr>
      <w:r w:rsidRPr="00CD56F8">
        <w:rPr>
          <w:rFonts w:ascii="Arial" w:hAnsi="Arial" w:cs="Arial"/>
          <w:sz w:val="24"/>
          <w:szCs w:val="24"/>
        </w:rPr>
        <w:t xml:space="preserve">Finally, many people with disability are subject to forms of restraint, seclusion and forced treatment through the consent of a substitute decision maker. In these circumstances </w:t>
      </w:r>
      <w:r w:rsidRPr="00CD56F8">
        <w:rPr>
          <w:rFonts w:ascii="Arial" w:hAnsi="Arial" w:cs="Arial"/>
          <w:sz w:val="24"/>
          <w:szCs w:val="24"/>
        </w:rPr>
        <w:lastRenderedPageBreak/>
        <w:t xml:space="preserve">substitute decision-making regimes point to a context or set of arrangements that place a person at risk of torture and ill-treatment in a range of public and private settings. </w:t>
      </w:r>
    </w:p>
    <w:p w14:paraId="4E7C2F83" w14:textId="77777777" w:rsidR="00182D74" w:rsidRPr="00CD56F8" w:rsidRDefault="00182D74" w:rsidP="00656F0E">
      <w:pPr>
        <w:spacing w:after="0" w:line="360" w:lineRule="auto"/>
        <w:rPr>
          <w:rFonts w:ascii="Arial" w:hAnsi="Arial" w:cs="Arial"/>
          <w:sz w:val="24"/>
          <w:szCs w:val="24"/>
        </w:rPr>
      </w:pPr>
    </w:p>
    <w:p w14:paraId="0D3787CD" w14:textId="33BAB9B0" w:rsidR="00182D74" w:rsidRDefault="00182D74" w:rsidP="00656F0E">
      <w:pPr>
        <w:spacing w:after="0" w:line="360" w:lineRule="auto"/>
        <w:rPr>
          <w:rFonts w:ascii="Arial" w:hAnsi="Arial" w:cs="Arial"/>
          <w:sz w:val="24"/>
          <w:szCs w:val="24"/>
        </w:rPr>
      </w:pPr>
      <w:r w:rsidRPr="00CD56F8">
        <w:rPr>
          <w:rFonts w:ascii="Arial" w:hAnsi="Arial" w:cs="Arial"/>
          <w:sz w:val="24"/>
          <w:szCs w:val="24"/>
        </w:rPr>
        <w:t xml:space="preserve">As a result, we recommend a wide interpretation of the concept of “places of detention” to </w:t>
      </w:r>
      <w:proofErr w:type="gramStart"/>
      <w:r w:rsidRPr="00CD56F8">
        <w:rPr>
          <w:rFonts w:ascii="Arial" w:hAnsi="Arial" w:cs="Arial"/>
          <w:sz w:val="24"/>
          <w:szCs w:val="24"/>
        </w:rPr>
        <w:t>take into account</w:t>
      </w:r>
      <w:proofErr w:type="gramEnd"/>
      <w:r w:rsidRPr="00CD56F8">
        <w:rPr>
          <w:rFonts w:ascii="Arial" w:hAnsi="Arial" w:cs="Arial"/>
          <w:sz w:val="24"/>
          <w:szCs w:val="24"/>
        </w:rPr>
        <w:t xml:space="preserve"> the role of </w:t>
      </w:r>
      <w:r w:rsidR="008D0491">
        <w:rPr>
          <w:rFonts w:ascii="Arial" w:hAnsi="Arial" w:cs="Arial"/>
          <w:sz w:val="24"/>
          <w:szCs w:val="24"/>
        </w:rPr>
        <w:t xml:space="preserve">disability-specific </w:t>
      </w:r>
      <w:r w:rsidR="0055002A">
        <w:rPr>
          <w:rFonts w:ascii="Arial" w:hAnsi="Arial" w:cs="Arial"/>
          <w:sz w:val="24"/>
          <w:szCs w:val="24"/>
        </w:rPr>
        <w:t xml:space="preserve">legislative frameworks and </w:t>
      </w:r>
      <w:r w:rsidRPr="00CD56F8">
        <w:rPr>
          <w:rFonts w:ascii="Arial" w:hAnsi="Arial" w:cs="Arial"/>
          <w:sz w:val="24"/>
          <w:szCs w:val="24"/>
        </w:rPr>
        <w:t xml:space="preserve">substitute decision-making in establishing a context or set of arrangements that </w:t>
      </w:r>
      <w:r>
        <w:rPr>
          <w:rFonts w:ascii="Arial" w:hAnsi="Arial" w:cs="Arial"/>
          <w:sz w:val="24"/>
          <w:szCs w:val="24"/>
        </w:rPr>
        <w:t>can</w:t>
      </w:r>
      <w:r w:rsidRPr="00CD56F8">
        <w:rPr>
          <w:rFonts w:ascii="Arial" w:hAnsi="Arial" w:cs="Arial"/>
          <w:sz w:val="24"/>
          <w:szCs w:val="24"/>
        </w:rPr>
        <w:t xml:space="preserve"> give rise to torture and other cruel, inhuman or degrading treatment or punishment. </w:t>
      </w:r>
    </w:p>
    <w:p w14:paraId="3BE26DE2" w14:textId="789E50DD" w:rsidR="009A6F06" w:rsidRPr="000015A2" w:rsidRDefault="009A6F06" w:rsidP="00656F0E">
      <w:pPr>
        <w:spacing w:after="0" w:line="360" w:lineRule="auto"/>
        <w:rPr>
          <w:rFonts w:ascii="Arial" w:hAnsi="Arial" w:cs="Arial"/>
          <w:sz w:val="24"/>
          <w:szCs w:val="24"/>
        </w:rPr>
      </w:pPr>
    </w:p>
    <w:p w14:paraId="1CAE2336" w14:textId="6C733D26" w:rsidR="00182D74" w:rsidRDefault="00182D74" w:rsidP="00656F0E">
      <w:pPr>
        <w:spacing w:after="0" w:line="360" w:lineRule="auto"/>
        <w:rPr>
          <w:rFonts w:ascii="Arial" w:hAnsi="Arial" w:cs="Arial"/>
          <w:sz w:val="24"/>
          <w:szCs w:val="24"/>
        </w:rPr>
      </w:pPr>
      <w:r w:rsidRPr="00CD56F8">
        <w:rPr>
          <w:rFonts w:ascii="Arial" w:hAnsi="Arial" w:cs="Arial"/>
          <w:sz w:val="24"/>
          <w:szCs w:val="24"/>
        </w:rPr>
        <w:t>In a concrete sense, we recommend that all settings where persons are subject to substitute decision-making regimes such as guardianship</w:t>
      </w:r>
      <w:r w:rsidR="008D0491">
        <w:rPr>
          <w:rFonts w:ascii="Arial" w:hAnsi="Arial" w:cs="Arial"/>
          <w:sz w:val="24"/>
          <w:szCs w:val="24"/>
        </w:rPr>
        <w:t xml:space="preserve"> and</w:t>
      </w:r>
      <w:r w:rsidRPr="00CD56F8">
        <w:rPr>
          <w:rFonts w:ascii="Arial" w:hAnsi="Arial" w:cs="Arial"/>
          <w:sz w:val="24"/>
          <w:szCs w:val="24"/>
        </w:rPr>
        <w:t xml:space="preserve"> conservatorship</w:t>
      </w:r>
      <w:r w:rsidR="008D0491">
        <w:rPr>
          <w:rFonts w:ascii="Arial" w:hAnsi="Arial" w:cs="Arial"/>
          <w:sz w:val="24"/>
          <w:szCs w:val="24"/>
        </w:rPr>
        <w:t xml:space="preserve"> laws,</w:t>
      </w:r>
      <w:r w:rsidRPr="00CD56F8">
        <w:rPr>
          <w:rFonts w:ascii="Arial" w:hAnsi="Arial" w:cs="Arial"/>
          <w:sz w:val="24"/>
          <w:szCs w:val="24"/>
        </w:rPr>
        <w:t xml:space="preserve"> and </w:t>
      </w:r>
      <w:r w:rsidR="008D0491">
        <w:rPr>
          <w:rFonts w:ascii="Arial" w:hAnsi="Arial" w:cs="Arial"/>
          <w:sz w:val="24"/>
          <w:szCs w:val="24"/>
        </w:rPr>
        <w:t xml:space="preserve">mental </w:t>
      </w:r>
      <w:r w:rsidRPr="00CD56F8">
        <w:rPr>
          <w:rFonts w:ascii="Arial" w:hAnsi="Arial" w:cs="Arial"/>
          <w:sz w:val="24"/>
          <w:szCs w:val="24"/>
        </w:rPr>
        <w:t>health</w:t>
      </w:r>
      <w:r w:rsidR="008D0491">
        <w:rPr>
          <w:rFonts w:ascii="Arial" w:hAnsi="Arial" w:cs="Arial"/>
          <w:sz w:val="24"/>
          <w:szCs w:val="24"/>
        </w:rPr>
        <w:t xml:space="preserve"> and forensic mental health</w:t>
      </w:r>
      <w:r w:rsidRPr="00CD56F8">
        <w:rPr>
          <w:rFonts w:ascii="Arial" w:hAnsi="Arial" w:cs="Arial"/>
          <w:sz w:val="24"/>
          <w:szCs w:val="24"/>
        </w:rPr>
        <w:t xml:space="preserve"> laws that permit </w:t>
      </w:r>
      <w:r w:rsidR="008D0491">
        <w:rPr>
          <w:rFonts w:ascii="Arial" w:hAnsi="Arial" w:cs="Arial"/>
          <w:sz w:val="24"/>
          <w:szCs w:val="24"/>
        </w:rPr>
        <w:t xml:space="preserve">involuntary detention and/or </w:t>
      </w:r>
      <w:r w:rsidRPr="00CD56F8">
        <w:rPr>
          <w:rFonts w:ascii="Arial" w:hAnsi="Arial" w:cs="Arial"/>
          <w:sz w:val="24"/>
          <w:szCs w:val="24"/>
        </w:rPr>
        <w:t xml:space="preserve">forced treatment should be considered relevant to monitoring arrangements described in the OPCAT. </w:t>
      </w:r>
    </w:p>
    <w:p w14:paraId="5F897FD8" w14:textId="77777777" w:rsidR="00182D74" w:rsidRDefault="00182D74" w:rsidP="00656F0E">
      <w:pPr>
        <w:spacing w:after="0" w:line="360" w:lineRule="auto"/>
        <w:rPr>
          <w:rFonts w:ascii="Arial" w:hAnsi="Arial" w:cs="Arial"/>
          <w:sz w:val="24"/>
          <w:szCs w:val="24"/>
        </w:rPr>
      </w:pPr>
    </w:p>
    <w:p w14:paraId="38FA6845" w14:textId="55DBE762" w:rsidR="00182D74" w:rsidRDefault="00182D74" w:rsidP="00656F0E">
      <w:pPr>
        <w:spacing w:after="0" w:line="360" w:lineRule="auto"/>
        <w:rPr>
          <w:rFonts w:ascii="Arial" w:hAnsi="Arial" w:cs="Arial"/>
          <w:sz w:val="24"/>
          <w:szCs w:val="24"/>
        </w:rPr>
      </w:pPr>
      <w:r w:rsidRPr="00CD56F8">
        <w:rPr>
          <w:rFonts w:ascii="Arial" w:hAnsi="Arial" w:cs="Arial"/>
          <w:sz w:val="24"/>
          <w:szCs w:val="24"/>
        </w:rPr>
        <w:t xml:space="preserve">We believe that this </w:t>
      </w:r>
      <w:r>
        <w:rPr>
          <w:rFonts w:ascii="Arial" w:hAnsi="Arial" w:cs="Arial"/>
          <w:sz w:val="24"/>
          <w:szCs w:val="24"/>
        </w:rPr>
        <w:t>is</w:t>
      </w:r>
      <w:r w:rsidRPr="00CD56F8">
        <w:rPr>
          <w:rFonts w:ascii="Arial" w:hAnsi="Arial" w:cs="Arial"/>
          <w:sz w:val="24"/>
          <w:szCs w:val="24"/>
        </w:rPr>
        <w:t xml:space="preserve"> consistent with the stated understanding expressed in the Draft General Comment that “the concept of places of deprivation of liberty is not fixed or limited and should allow for novel circumstances of deprivation of liberty that may arise in new contexts.”  </w:t>
      </w:r>
    </w:p>
    <w:p w14:paraId="5FDAA80C" w14:textId="61A5AB98" w:rsidR="009A6F06" w:rsidRPr="00F94D97" w:rsidRDefault="00182D74" w:rsidP="00F94D97">
      <w:pPr>
        <w:pStyle w:val="Heading1"/>
        <w:rPr>
          <w:rFonts w:ascii="Arial" w:hAnsi="Arial" w:cs="Arial"/>
          <w:b/>
          <w:bCs/>
          <w:sz w:val="24"/>
          <w:szCs w:val="24"/>
        </w:rPr>
      </w:pPr>
      <w:r w:rsidRPr="00F94D97">
        <w:rPr>
          <w:rFonts w:ascii="Arial" w:eastAsia="Times New Roman" w:hAnsi="Arial" w:cs="Arial"/>
          <w:b/>
          <w:bCs/>
        </w:rPr>
        <w:t>Legal authorisation that gives rise to torture and ill-treatment</w:t>
      </w:r>
    </w:p>
    <w:p w14:paraId="2958574E" w14:textId="3D1A2733" w:rsidR="009A6F06" w:rsidRDefault="009A6F06" w:rsidP="00656F0E">
      <w:pPr>
        <w:spacing w:after="0" w:line="360" w:lineRule="auto"/>
        <w:rPr>
          <w:rFonts w:ascii="Arial" w:hAnsi="Arial" w:cs="Arial"/>
          <w:sz w:val="24"/>
          <w:szCs w:val="24"/>
        </w:rPr>
      </w:pPr>
    </w:p>
    <w:p w14:paraId="5D2E5700" w14:textId="77777777" w:rsidR="00702648" w:rsidRDefault="00702648" w:rsidP="00656F0E">
      <w:pPr>
        <w:spacing w:after="0" w:line="360" w:lineRule="auto"/>
        <w:rPr>
          <w:rFonts w:ascii="Arial" w:hAnsi="Arial" w:cs="Arial"/>
          <w:sz w:val="24"/>
          <w:szCs w:val="24"/>
        </w:rPr>
      </w:pPr>
      <w:r w:rsidRPr="00CD56F8">
        <w:rPr>
          <w:rFonts w:ascii="Arial" w:hAnsi="Arial" w:cs="Arial"/>
          <w:sz w:val="24"/>
          <w:szCs w:val="24"/>
        </w:rPr>
        <w:t>As indicated above, in many jurisdictions there is legal authorisation for restraint, seclusion and forced treatment. In so far as this treatment is applied on a differential basis against people with disability, it can give rise to discrimination, at odds with both the non-discrimination principle contained in Article 1 of the Convention against Torture and Other Cruel, Inhuman or Degrading Treatment or Punishment (CAT), and Article 5(2) of the CRPD, which mandates that States parties “shall prohibit all discrimination on the basis of disability and guarantee to persons with disabilities equal and effective legal protection against discrimination on all grounds.”</w:t>
      </w:r>
    </w:p>
    <w:p w14:paraId="55CC7789" w14:textId="77777777" w:rsidR="00702648" w:rsidRPr="00CD56F8" w:rsidRDefault="00702648" w:rsidP="00656F0E">
      <w:pPr>
        <w:spacing w:after="0" w:line="360" w:lineRule="auto"/>
        <w:rPr>
          <w:rFonts w:ascii="Arial" w:hAnsi="Arial" w:cs="Arial"/>
          <w:sz w:val="24"/>
          <w:szCs w:val="24"/>
        </w:rPr>
      </w:pPr>
    </w:p>
    <w:p w14:paraId="2012A920" w14:textId="763782AE" w:rsidR="00702648" w:rsidRDefault="00702648" w:rsidP="00656F0E">
      <w:pPr>
        <w:spacing w:after="0" w:line="360" w:lineRule="auto"/>
        <w:rPr>
          <w:rFonts w:ascii="Arial" w:eastAsia="Times New Roman" w:hAnsi="Arial" w:cs="Arial"/>
          <w:color w:val="000000"/>
          <w:sz w:val="24"/>
          <w:szCs w:val="24"/>
          <w:lang w:eastAsia="en-AU"/>
        </w:rPr>
      </w:pPr>
      <w:r w:rsidRPr="00CD56F8">
        <w:rPr>
          <w:rFonts w:ascii="Arial" w:hAnsi="Arial" w:cs="Arial"/>
          <w:sz w:val="24"/>
          <w:szCs w:val="24"/>
        </w:rPr>
        <w:t>Arguably this</w:t>
      </w:r>
      <w:r w:rsidR="008D0491">
        <w:rPr>
          <w:rFonts w:ascii="Arial" w:hAnsi="Arial" w:cs="Arial"/>
          <w:sz w:val="24"/>
          <w:szCs w:val="24"/>
        </w:rPr>
        <w:t xml:space="preserve"> legal authorisation</w:t>
      </w:r>
      <w:r w:rsidRPr="00CD56F8">
        <w:rPr>
          <w:rFonts w:ascii="Arial" w:hAnsi="Arial" w:cs="Arial"/>
          <w:sz w:val="24"/>
          <w:szCs w:val="24"/>
        </w:rPr>
        <w:t xml:space="preserve"> creates a</w:t>
      </w:r>
      <w:r w:rsidRPr="00CD56F8">
        <w:rPr>
          <w:rFonts w:ascii="Arial" w:eastAsia="Times New Roman" w:hAnsi="Arial" w:cs="Arial"/>
          <w:color w:val="000000"/>
          <w:sz w:val="24"/>
          <w:szCs w:val="24"/>
          <w:lang w:eastAsia="en-AU"/>
        </w:rPr>
        <w:t xml:space="preserve"> perverse challenge for attempts to eliminate torture and ill-treatment against people with disability. In many cases Article 4 of the OPCAT responds to settings where domestic legal arrangements formally prohibit torture and ill-treatment, in line with the obligations expressed in the CAT. </w:t>
      </w:r>
    </w:p>
    <w:p w14:paraId="06EEE8C0" w14:textId="77777777" w:rsidR="00702648" w:rsidRDefault="00702648" w:rsidP="00656F0E">
      <w:pPr>
        <w:spacing w:after="0" w:line="360" w:lineRule="auto"/>
        <w:rPr>
          <w:rFonts w:ascii="Arial" w:eastAsia="Times New Roman" w:hAnsi="Arial" w:cs="Arial"/>
          <w:color w:val="000000"/>
          <w:sz w:val="24"/>
          <w:szCs w:val="24"/>
          <w:lang w:eastAsia="en-AU"/>
        </w:rPr>
      </w:pPr>
    </w:p>
    <w:p w14:paraId="19F343FE" w14:textId="77777777" w:rsidR="00092844" w:rsidRDefault="00702648" w:rsidP="00656F0E">
      <w:pPr>
        <w:spacing w:after="0" w:line="360" w:lineRule="auto"/>
        <w:rPr>
          <w:rFonts w:ascii="Arial" w:hAnsi="Arial" w:cs="Arial"/>
          <w:sz w:val="24"/>
          <w:szCs w:val="24"/>
        </w:rPr>
      </w:pPr>
      <w:r w:rsidRPr="00CD56F8">
        <w:rPr>
          <w:rFonts w:ascii="Arial" w:eastAsia="Times New Roman" w:hAnsi="Arial" w:cs="Arial"/>
          <w:color w:val="000000"/>
          <w:sz w:val="24"/>
          <w:szCs w:val="24"/>
          <w:lang w:eastAsia="en-AU"/>
        </w:rPr>
        <w:lastRenderedPageBreak/>
        <w:t xml:space="preserve">However, in the case of </w:t>
      </w:r>
      <w:r w:rsidRPr="00CD56F8">
        <w:rPr>
          <w:rFonts w:ascii="Arial" w:hAnsi="Arial" w:cs="Arial"/>
          <w:sz w:val="24"/>
          <w:szCs w:val="24"/>
        </w:rPr>
        <w:t xml:space="preserve">restraint, seclusion and forced treatment </w:t>
      </w:r>
      <w:r w:rsidR="008D0491">
        <w:rPr>
          <w:rFonts w:ascii="Arial" w:hAnsi="Arial" w:cs="Arial"/>
          <w:sz w:val="24"/>
          <w:szCs w:val="24"/>
        </w:rPr>
        <w:t>of</w:t>
      </w:r>
      <w:r w:rsidR="008D0491" w:rsidRPr="00CD56F8">
        <w:rPr>
          <w:rFonts w:ascii="Arial" w:hAnsi="Arial" w:cs="Arial"/>
          <w:sz w:val="24"/>
          <w:szCs w:val="24"/>
        </w:rPr>
        <w:t xml:space="preserve"> </w:t>
      </w:r>
      <w:r w:rsidRPr="00CD56F8">
        <w:rPr>
          <w:rFonts w:ascii="Arial" w:hAnsi="Arial" w:cs="Arial"/>
          <w:sz w:val="24"/>
          <w:szCs w:val="24"/>
        </w:rPr>
        <w:t>people with disability, OPCAT monitoring must contend with places of detention where these practices have been granted legal and social authorisation</w:t>
      </w:r>
      <w:r w:rsidR="0026524F">
        <w:rPr>
          <w:rFonts w:ascii="Arial" w:hAnsi="Arial" w:cs="Arial"/>
          <w:sz w:val="24"/>
          <w:szCs w:val="24"/>
        </w:rPr>
        <w:t>.</w:t>
      </w:r>
      <w:r w:rsidRPr="00CD56F8">
        <w:rPr>
          <w:rFonts w:ascii="Arial" w:hAnsi="Arial" w:cs="Arial"/>
          <w:sz w:val="24"/>
          <w:szCs w:val="24"/>
        </w:rPr>
        <w:t xml:space="preserve"> </w:t>
      </w:r>
    </w:p>
    <w:p w14:paraId="7AB28D0A" w14:textId="77777777" w:rsidR="00092844" w:rsidRDefault="00092844" w:rsidP="00656F0E">
      <w:pPr>
        <w:spacing w:after="0" w:line="360" w:lineRule="auto"/>
        <w:rPr>
          <w:rFonts w:ascii="Arial" w:hAnsi="Arial" w:cs="Arial"/>
          <w:sz w:val="24"/>
          <w:szCs w:val="24"/>
        </w:rPr>
      </w:pPr>
    </w:p>
    <w:p w14:paraId="1663C31A" w14:textId="718EFBBF" w:rsidR="00702648" w:rsidRDefault="0026524F" w:rsidP="00656F0E">
      <w:pPr>
        <w:spacing w:after="0" w:line="360" w:lineRule="auto"/>
        <w:rPr>
          <w:rFonts w:ascii="Arial" w:hAnsi="Arial" w:cs="Arial"/>
          <w:sz w:val="24"/>
          <w:szCs w:val="24"/>
        </w:rPr>
      </w:pPr>
      <w:r>
        <w:rPr>
          <w:rFonts w:ascii="Arial" w:hAnsi="Arial" w:cs="Arial"/>
          <w:sz w:val="24"/>
          <w:szCs w:val="24"/>
        </w:rPr>
        <w:t xml:space="preserve">The challenge is that this torture and ill-treatment is not perpetrated by individuals engaging in illegal </w:t>
      </w:r>
      <w:r w:rsidR="00092844">
        <w:rPr>
          <w:rFonts w:ascii="Arial" w:hAnsi="Arial" w:cs="Arial"/>
          <w:sz w:val="24"/>
          <w:szCs w:val="24"/>
        </w:rPr>
        <w:t>conduct but</w:t>
      </w:r>
      <w:r>
        <w:rPr>
          <w:rFonts w:ascii="Arial" w:hAnsi="Arial" w:cs="Arial"/>
          <w:sz w:val="24"/>
          <w:szCs w:val="24"/>
        </w:rPr>
        <w:t xml:space="preserve"> is instead legal under domestic law and is routine </w:t>
      </w:r>
      <w:r w:rsidR="00185D8E">
        <w:rPr>
          <w:rFonts w:ascii="Arial" w:hAnsi="Arial" w:cs="Arial"/>
          <w:sz w:val="24"/>
          <w:szCs w:val="24"/>
        </w:rPr>
        <w:t xml:space="preserve">and widespread </w:t>
      </w:r>
      <w:r>
        <w:rPr>
          <w:rFonts w:ascii="Arial" w:hAnsi="Arial" w:cs="Arial"/>
          <w:sz w:val="24"/>
          <w:szCs w:val="24"/>
        </w:rPr>
        <w:t>practice designed into service systems, funded by governments</w:t>
      </w:r>
      <w:r w:rsidR="00185D8E">
        <w:rPr>
          <w:rFonts w:ascii="Arial" w:hAnsi="Arial" w:cs="Arial"/>
          <w:sz w:val="24"/>
          <w:szCs w:val="24"/>
        </w:rPr>
        <w:t xml:space="preserve"> and</w:t>
      </w:r>
      <w:r>
        <w:rPr>
          <w:rFonts w:ascii="Arial" w:hAnsi="Arial" w:cs="Arial"/>
          <w:sz w:val="24"/>
          <w:szCs w:val="24"/>
        </w:rPr>
        <w:t xml:space="preserve"> supported by legislative frameworks.</w:t>
      </w:r>
      <w:r w:rsidR="00185D8E">
        <w:rPr>
          <w:rFonts w:ascii="Arial" w:hAnsi="Arial" w:cs="Arial"/>
          <w:sz w:val="24"/>
          <w:szCs w:val="24"/>
        </w:rPr>
        <w:t xml:space="preserve"> If torture prevention focuses too narrowly on illegal conduct, the legal, systemic and normalised practices experienced by people with disability will be overlooked by OPCAT monitoring and ultimately condoned.</w:t>
      </w:r>
    </w:p>
    <w:p w14:paraId="0C407C83" w14:textId="77777777" w:rsidR="00702648" w:rsidRPr="00CD56F8" w:rsidRDefault="00702648" w:rsidP="00656F0E">
      <w:pPr>
        <w:spacing w:after="0" w:line="360" w:lineRule="auto"/>
        <w:rPr>
          <w:rFonts w:ascii="Arial" w:hAnsi="Arial" w:cs="Arial"/>
          <w:sz w:val="24"/>
          <w:szCs w:val="24"/>
        </w:rPr>
      </w:pPr>
    </w:p>
    <w:p w14:paraId="20F56CAF" w14:textId="77777777" w:rsidR="00702648" w:rsidRDefault="00702648" w:rsidP="00656F0E">
      <w:pPr>
        <w:spacing w:after="0" w:line="360" w:lineRule="auto"/>
        <w:rPr>
          <w:rFonts w:ascii="Arial" w:hAnsi="Arial" w:cs="Arial"/>
          <w:sz w:val="24"/>
          <w:szCs w:val="24"/>
        </w:rPr>
      </w:pPr>
      <w:r w:rsidRPr="00CD56F8">
        <w:rPr>
          <w:rFonts w:ascii="Arial" w:hAnsi="Arial" w:cs="Arial"/>
          <w:sz w:val="24"/>
          <w:szCs w:val="24"/>
        </w:rPr>
        <w:t>Article 4(1) states that the visits by mechanisms outlined in Articles 2 and 3 “shall be undertaken with a view to strengthening, if necessary, the protection of these persons against torture and other cruel, inhuman or degrading treatment or punishment.”</w:t>
      </w:r>
    </w:p>
    <w:p w14:paraId="025726CE" w14:textId="77777777" w:rsidR="00702648" w:rsidRDefault="00702648" w:rsidP="00656F0E">
      <w:pPr>
        <w:spacing w:after="0" w:line="360" w:lineRule="auto"/>
        <w:rPr>
          <w:rFonts w:ascii="Arial" w:hAnsi="Arial" w:cs="Arial"/>
          <w:sz w:val="24"/>
          <w:szCs w:val="24"/>
        </w:rPr>
      </w:pPr>
    </w:p>
    <w:p w14:paraId="64786D46" w14:textId="77777777" w:rsidR="00702648" w:rsidRPr="00CD56F8" w:rsidRDefault="00702648" w:rsidP="00656F0E">
      <w:pPr>
        <w:spacing w:after="0" w:line="360" w:lineRule="auto"/>
        <w:rPr>
          <w:rFonts w:ascii="Arial" w:hAnsi="Arial" w:cs="Arial"/>
          <w:sz w:val="24"/>
          <w:szCs w:val="24"/>
        </w:rPr>
      </w:pPr>
      <w:r w:rsidRPr="00CD56F8">
        <w:rPr>
          <w:rFonts w:ascii="Arial" w:hAnsi="Arial" w:cs="Arial"/>
          <w:sz w:val="24"/>
          <w:szCs w:val="24"/>
        </w:rPr>
        <w:t xml:space="preserve">We recommend that the General Comment includes guidance on how mechanisms should respond where domestic legal arrangements authorise forms of torture and ill-treatment that are at odds with the obligations imposed by the CAT. </w:t>
      </w:r>
    </w:p>
    <w:p w14:paraId="7B04F85C" w14:textId="77777777" w:rsidR="00702648" w:rsidRPr="00CD56F8" w:rsidRDefault="00702648" w:rsidP="00656F0E">
      <w:pPr>
        <w:spacing w:after="0" w:line="360" w:lineRule="auto"/>
        <w:rPr>
          <w:rFonts w:ascii="Arial" w:hAnsi="Arial" w:cs="Arial"/>
          <w:sz w:val="24"/>
          <w:szCs w:val="24"/>
        </w:rPr>
      </w:pPr>
    </w:p>
    <w:p w14:paraId="08B8E1C7" w14:textId="003BBF4E" w:rsidR="00702648" w:rsidRDefault="00702648" w:rsidP="00656F0E">
      <w:pPr>
        <w:spacing w:after="0" w:line="360" w:lineRule="auto"/>
        <w:rPr>
          <w:rFonts w:ascii="Arial" w:hAnsi="Arial" w:cs="Arial"/>
          <w:sz w:val="24"/>
          <w:szCs w:val="24"/>
        </w:rPr>
      </w:pPr>
      <w:r w:rsidRPr="00CD56F8">
        <w:rPr>
          <w:rFonts w:ascii="Arial" w:hAnsi="Arial" w:cs="Arial"/>
          <w:sz w:val="24"/>
          <w:szCs w:val="24"/>
        </w:rPr>
        <w:t xml:space="preserve">We hope the above </w:t>
      </w:r>
      <w:r w:rsidR="001C3A97">
        <w:rPr>
          <w:rFonts w:ascii="Arial" w:hAnsi="Arial" w:cs="Arial"/>
          <w:sz w:val="24"/>
          <w:szCs w:val="24"/>
        </w:rPr>
        <w:t>assists the</w:t>
      </w:r>
      <w:r w:rsidRPr="00CD56F8">
        <w:rPr>
          <w:rFonts w:ascii="Arial" w:hAnsi="Arial" w:cs="Arial"/>
          <w:sz w:val="24"/>
          <w:szCs w:val="24"/>
        </w:rPr>
        <w:t xml:space="preserve"> SPT</w:t>
      </w:r>
      <w:r w:rsidR="0045529D">
        <w:rPr>
          <w:rFonts w:ascii="Arial" w:hAnsi="Arial" w:cs="Arial"/>
          <w:sz w:val="24"/>
          <w:szCs w:val="24"/>
        </w:rPr>
        <w:t xml:space="preserve">, and that the SPT </w:t>
      </w:r>
      <w:r w:rsidRPr="00CD56F8">
        <w:rPr>
          <w:rFonts w:ascii="Arial" w:hAnsi="Arial" w:cs="Arial"/>
          <w:sz w:val="24"/>
          <w:szCs w:val="24"/>
        </w:rPr>
        <w:t xml:space="preserve">will favourably consider this submission in redrafting the General Comment. </w:t>
      </w:r>
    </w:p>
    <w:p w14:paraId="2F5E9D87" w14:textId="5BCE2141" w:rsidR="009A6F06" w:rsidRDefault="009A6F06" w:rsidP="00D501A1">
      <w:pPr>
        <w:spacing w:after="0" w:line="276" w:lineRule="auto"/>
        <w:rPr>
          <w:rFonts w:ascii="Arial" w:hAnsi="Arial" w:cs="Arial"/>
          <w:sz w:val="24"/>
          <w:szCs w:val="24"/>
        </w:rPr>
      </w:pPr>
    </w:p>
    <w:p w14:paraId="0DDE92F5" w14:textId="2EB87A66" w:rsidR="009A6F06" w:rsidRDefault="009A6F06" w:rsidP="00D501A1">
      <w:pPr>
        <w:spacing w:after="0" w:line="276" w:lineRule="auto"/>
        <w:rPr>
          <w:rFonts w:ascii="Arial" w:hAnsi="Arial" w:cs="Arial"/>
          <w:sz w:val="24"/>
          <w:szCs w:val="24"/>
        </w:rPr>
      </w:pPr>
    </w:p>
    <w:p w14:paraId="763C7A23" w14:textId="09267DD0" w:rsidR="009A6F06" w:rsidRDefault="009A6F06" w:rsidP="00D501A1">
      <w:pPr>
        <w:spacing w:after="0" w:line="276" w:lineRule="auto"/>
        <w:rPr>
          <w:rFonts w:ascii="Arial" w:hAnsi="Arial" w:cs="Arial"/>
          <w:sz w:val="24"/>
          <w:szCs w:val="24"/>
        </w:rPr>
      </w:pPr>
    </w:p>
    <w:p w14:paraId="24B55A06" w14:textId="77777777" w:rsidR="009A6F06" w:rsidRPr="009A7A3C" w:rsidRDefault="009A6F06" w:rsidP="00D501A1">
      <w:pPr>
        <w:spacing w:after="0" w:line="276" w:lineRule="auto"/>
        <w:rPr>
          <w:rFonts w:ascii="Arial" w:hAnsi="Arial" w:cs="Arial"/>
          <w:sz w:val="24"/>
          <w:szCs w:val="24"/>
        </w:rPr>
      </w:pPr>
    </w:p>
    <w:p w14:paraId="59ED37FE" w14:textId="7C8A0062" w:rsidR="009A7A3C" w:rsidRPr="009A7A3C" w:rsidRDefault="009A7A3C" w:rsidP="00761386">
      <w:pPr>
        <w:spacing w:after="0" w:line="276" w:lineRule="auto"/>
        <w:rPr>
          <w:rFonts w:ascii="Arial" w:hAnsi="Arial" w:cs="Arial"/>
          <w:sz w:val="24"/>
          <w:szCs w:val="24"/>
        </w:rPr>
      </w:pPr>
    </w:p>
    <w:p w14:paraId="553DAC22" w14:textId="3A0169FF" w:rsidR="009A7A3C" w:rsidRPr="009A7A3C" w:rsidRDefault="009A7A3C" w:rsidP="00761386">
      <w:pPr>
        <w:spacing w:after="0" w:line="276" w:lineRule="auto"/>
        <w:rPr>
          <w:rFonts w:ascii="Arial" w:hAnsi="Arial" w:cs="Arial"/>
          <w:sz w:val="24"/>
          <w:szCs w:val="24"/>
        </w:rPr>
      </w:pPr>
    </w:p>
    <w:p w14:paraId="634C26B7" w14:textId="77777777" w:rsidR="009A7A3C" w:rsidRPr="009A7A3C" w:rsidRDefault="009A7A3C" w:rsidP="00084113">
      <w:pPr>
        <w:spacing w:after="0" w:line="276" w:lineRule="auto"/>
        <w:rPr>
          <w:rFonts w:ascii="Arial" w:hAnsi="Arial" w:cs="Arial"/>
          <w:sz w:val="24"/>
          <w:szCs w:val="24"/>
        </w:rPr>
      </w:pPr>
    </w:p>
    <w:sectPr w:rsidR="009A7A3C" w:rsidRPr="009A7A3C" w:rsidSect="009A7A3C">
      <w:footerReference w:type="even" r:id="rId15"/>
      <w:footerReference w:type="default" r:id="rId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39C5" w14:textId="77777777" w:rsidR="00146B72" w:rsidRDefault="00146B72" w:rsidP="00882D69">
      <w:pPr>
        <w:spacing w:after="0" w:line="240" w:lineRule="auto"/>
      </w:pPr>
      <w:r>
        <w:separator/>
      </w:r>
    </w:p>
  </w:endnote>
  <w:endnote w:type="continuationSeparator" w:id="0">
    <w:p w14:paraId="439BB1A9" w14:textId="77777777" w:rsidR="00146B72" w:rsidRDefault="00146B72" w:rsidP="0088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8276051"/>
      <w:docPartObj>
        <w:docPartGallery w:val="Page Numbers (Bottom of Page)"/>
        <w:docPartUnique/>
      </w:docPartObj>
    </w:sdtPr>
    <w:sdtContent>
      <w:p w14:paraId="504FA098" w14:textId="085903D1" w:rsidR="00882D69" w:rsidRDefault="00882D69" w:rsidP="00E636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95A23">
          <w:rPr>
            <w:rStyle w:val="PageNumber"/>
            <w:noProof/>
          </w:rPr>
          <w:t>1</w:t>
        </w:r>
        <w:r>
          <w:rPr>
            <w:rStyle w:val="PageNumber"/>
          </w:rPr>
          <w:fldChar w:fldCharType="end"/>
        </w:r>
      </w:p>
    </w:sdtContent>
  </w:sdt>
  <w:p w14:paraId="2064A661" w14:textId="77777777" w:rsidR="00882D69" w:rsidRDefault="00882D69" w:rsidP="00882D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8963453"/>
      <w:docPartObj>
        <w:docPartGallery w:val="Page Numbers (Bottom of Page)"/>
        <w:docPartUnique/>
      </w:docPartObj>
    </w:sdtPr>
    <w:sdtContent>
      <w:p w14:paraId="44A6450A" w14:textId="5C524613" w:rsidR="00882D69" w:rsidRDefault="00882D69" w:rsidP="00E636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0A7137" w14:textId="77777777" w:rsidR="00882D69" w:rsidRDefault="00882D69" w:rsidP="00882D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13AC" w14:textId="77777777" w:rsidR="00146B72" w:rsidRDefault="00146B72" w:rsidP="00882D69">
      <w:pPr>
        <w:spacing w:after="0" w:line="240" w:lineRule="auto"/>
      </w:pPr>
      <w:r>
        <w:separator/>
      </w:r>
    </w:p>
  </w:footnote>
  <w:footnote w:type="continuationSeparator" w:id="0">
    <w:p w14:paraId="3BDEF4A8" w14:textId="77777777" w:rsidR="00146B72" w:rsidRDefault="00146B72" w:rsidP="00882D69">
      <w:pPr>
        <w:spacing w:after="0" w:line="240" w:lineRule="auto"/>
      </w:pPr>
      <w:r>
        <w:continuationSeparator/>
      </w:r>
    </w:p>
  </w:footnote>
  <w:footnote w:id="1">
    <w:p w14:paraId="1F1A9363" w14:textId="11BDB2D9" w:rsidR="00F85676" w:rsidRPr="002106EB" w:rsidRDefault="00F85676">
      <w:pPr>
        <w:pStyle w:val="FootnoteText"/>
        <w:rPr>
          <w:rFonts w:ascii="Arial" w:hAnsi="Arial" w:cs="Arial"/>
          <w:sz w:val="18"/>
          <w:szCs w:val="18"/>
        </w:rPr>
      </w:pPr>
      <w:r w:rsidRPr="002106EB">
        <w:rPr>
          <w:rStyle w:val="FootnoteReference"/>
          <w:rFonts w:ascii="Arial" w:hAnsi="Arial" w:cs="Arial"/>
          <w:sz w:val="18"/>
          <w:szCs w:val="18"/>
        </w:rPr>
        <w:footnoteRef/>
      </w:r>
      <w:r w:rsidRPr="002106EB">
        <w:rPr>
          <w:rFonts w:ascii="Arial" w:hAnsi="Arial" w:cs="Arial"/>
          <w:sz w:val="18"/>
          <w:szCs w:val="18"/>
        </w:rPr>
        <w:t xml:space="preserve"> </w:t>
      </w:r>
      <w:r w:rsidR="00AF7B1B" w:rsidRPr="002106EB">
        <w:rPr>
          <w:rFonts w:ascii="Arial" w:hAnsi="Arial" w:cs="Arial"/>
          <w:sz w:val="18"/>
          <w:szCs w:val="18"/>
        </w:rPr>
        <w:t xml:space="preserve">CYDA, WWDA, NEDA, AFDO, Inclusion Australia, DANA, FPDN, and PWDA. </w:t>
      </w:r>
      <w:r w:rsidR="00AF7B1B" w:rsidRPr="002106EB">
        <w:rPr>
          <w:rFonts w:ascii="Arial" w:hAnsi="Arial" w:cs="Arial"/>
          <w:i/>
          <w:iCs/>
          <w:sz w:val="18"/>
          <w:szCs w:val="18"/>
        </w:rPr>
        <w:t xml:space="preserve">Segregation of People with Disability is Discrimination and Must End: Position paper. </w:t>
      </w:r>
      <w:r w:rsidR="00AF7B1B" w:rsidRPr="002106EB">
        <w:rPr>
          <w:rFonts w:ascii="Arial" w:hAnsi="Arial" w:cs="Arial"/>
          <w:sz w:val="18"/>
          <w:szCs w:val="18"/>
        </w:rPr>
        <w:t xml:space="preserve">September 2020. At:  </w:t>
      </w:r>
      <w:hyperlink r:id="rId1" w:history="1">
        <w:r w:rsidR="00AF7B1B" w:rsidRPr="002106EB">
          <w:rPr>
            <w:rStyle w:val="Hyperlink"/>
            <w:rFonts w:ascii="Arial" w:hAnsi="Arial" w:cs="Arial"/>
            <w:sz w:val="18"/>
            <w:szCs w:val="18"/>
          </w:rPr>
          <w:t>https://dpoa.org.au/wp-content/uploads/2020/11/Segregation-of-People-with-Disability_Position-Paper.pdf</w:t>
        </w:r>
      </w:hyperlink>
      <w:r w:rsidRPr="002106EB">
        <w:rPr>
          <w:rFonts w:ascii="Arial" w:hAnsi="Arial" w:cs="Arial"/>
          <w:sz w:val="18"/>
          <w:szCs w:val="18"/>
        </w:rPr>
        <w:t xml:space="preserve"> </w:t>
      </w:r>
    </w:p>
  </w:footnote>
  <w:footnote w:id="2">
    <w:p w14:paraId="578EE174" w14:textId="77777777" w:rsidR="00761386" w:rsidRPr="002106EB" w:rsidRDefault="00761386" w:rsidP="00761386">
      <w:pPr>
        <w:pStyle w:val="FootnoteText"/>
        <w:spacing w:before="0"/>
        <w:rPr>
          <w:rFonts w:ascii="Arial" w:hAnsi="Arial" w:cs="Arial"/>
          <w:sz w:val="18"/>
          <w:szCs w:val="18"/>
        </w:rPr>
      </w:pPr>
      <w:r w:rsidRPr="002106EB">
        <w:rPr>
          <w:rStyle w:val="FootnoteReference"/>
          <w:rFonts w:ascii="Arial" w:hAnsi="Arial" w:cs="Arial"/>
          <w:sz w:val="18"/>
          <w:szCs w:val="18"/>
        </w:rPr>
        <w:footnoteRef/>
      </w:r>
      <w:r w:rsidRPr="002106EB">
        <w:rPr>
          <w:rFonts w:ascii="Arial" w:hAnsi="Arial" w:cs="Arial"/>
          <w:sz w:val="18"/>
          <w:szCs w:val="18"/>
        </w:rPr>
        <w:t xml:space="preserve"> CRPD/C/GC/1</w:t>
      </w:r>
    </w:p>
  </w:footnote>
  <w:footnote w:id="3">
    <w:p w14:paraId="1F6C03D9" w14:textId="77777777" w:rsidR="00761386" w:rsidRPr="002106EB" w:rsidRDefault="00761386" w:rsidP="00761386">
      <w:pPr>
        <w:pStyle w:val="FootnoteText"/>
        <w:spacing w:before="0"/>
        <w:rPr>
          <w:rFonts w:ascii="Arial" w:hAnsi="Arial" w:cs="Arial"/>
          <w:sz w:val="18"/>
          <w:szCs w:val="18"/>
        </w:rPr>
      </w:pPr>
      <w:r w:rsidRPr="002106EB">
        <w:rPr>
          <w:rStyle w:val="FootnoteReference"/>
          <w:rFonts w:ascii="Arial" w:hAnsi="Arial" w:cs="Arial"/>
          <w:sz w:val="18"/>
          <w:szCs w:val="18"/>
        </w:rPr>
        <w:footnoteRef/>
      </w:r>
      <w:r w:rsidRPr="002106EB">
        <w:rPr>
          <w:rFonts w:ascii="Arial" w:hAnsi="Arial" w:cs="Arial"/>
          <w:sz w:val="18"/>
          <w:szCs w:val="18"/>
        </w:rPr>
        <w:t xml:space="preserve"> CRPD/C/GC/1</w:t>
      </w:r>
    </w:p>
  </w:footnote>
  <w:footnote w:id="4">
    <w:p w14:paraId="6178389B" w14:textId="60AF13DB" w:rsidR="009A6F06" w:rsidRPr="002106EB" w:rsidRDefault="009A6F06" w:rsidP="00841BCD">
      <w:pPr>
        <w:pStyle w:val="FootnoteText"/>
        <w:spacing w:before="0"/>
        <w:rPr>
          <w:rFonts w:ascii="Arial" w:hAnsi="Arial" w:cs="Arial"/>
          <w:sz w:val="18"/>
          <w:szCs w:val="18"/>
        </w:rPr>
      </w:pPr>
      <w:r w:rsidRPr="002106EB">
        <w:rPr>
          <w:rStyle w:val="FootnoteReference"/>
          <w:rFonts w:ascii="Arial" w:hAnsi="Arial" w:cs="Arial"/>
          <w:sz w:val="18"/>
          <w:szCs w:val="18"/>
        </w:rPr>
        <w:footnoteRef/>
      </w:r>
      <w:r w:rsidRPr="002106EB">
        <w:rPr>
          <w:rFonts w:ascii="Arial" w:hAnsi="Arial" w:cs="Arial"/>
          <w:sz w:val="18"/>
          <w:szCs w:val="18"/>
        </w:rPr>
        <w:t xml:space="preserve"> Australian Bureau of Statistics (2022), </w:t>
      </w:r>
      <w:hyperlink r:id="rId2" w:history="1">
        <w:r w:rsidRPr="002106EB">
          <w:rPr>
            <w:rStyle w:val="Hyperlink"/>
            <w:rFonts w:ascii="Arial" w:hAnsi="Arial" w:cs="Arial"/>
            <w:sz w:val="18"/>
            <w:szCs w:val="18"/>
          </w:rPr>
          <w:t>Prisoners in Australia</w:t>
        </w:r>
      </w:hyperlink>
      <w:r w:rsidRPr="002106EB">
        <w:rPr>
          <w:rFonts w:ascii="Arial" w:hAnsi="Arial" w:cs="Arial"/>
          <w:sz w:val="18"/>
          <w:szCs w:val="18"/>
        </w:rPr>
        <w:t>, ABS Website, accessed 11 April 2023.</w:t>
      </w:r>
      <w:r w:rsidR="00627DF1" w:rsidRPr="002106EB">
        <w:rPr>
          <w:rFonts w:ascii="Arial" w:hAnsi="Arial" w:cs="Arial"/>
          <w:sz w:val="18"/>
          <w:szCs w:val="18"/>
        </w:rPr>
        <w:t xml:space="preserve"> Bower C et al, ‘</w:t>
      </w:r>
      <w:hyperlink r:id="rId3" w:history="1">
        <w:r w:rsidR="00627DF1" w:rsidRPr="002106EB">
          <w:rPr>
            <w:rStyle w:val="Hyperlink"/>
            <w:rFonts w:ascii="Arial" w:hAnsi="Arial" w:cs="Arial"/>
            <w:color w:val="auto"/>
            <w:sz w:val="18"/>
            <w:szCs w:val="18"/>
            <w:u w:val="none"/>
          </w:rPr>
          <w:t>Fetal alcohol spectrum disorder and youth justice: a prevalence study among young people sentenced to detention in Western Australia</w:t>
        </w:r>
      </w:hyperlink>
      <w:r w:rsidR="00627DF1" w:rsidRPr="002106EB">
        <w:rPr>
          <w:rFonts w:ascii="Arial" w:hAnsi="Arial" w:cs="Arial"/>
          <w:sz w:val="18"/>
          <w:szCs w:val="18"/>
        </w:rPr>
        <w:t xml:space="preserve">’, </w:t>
      </w:r>
      <w:r w:rsidR="00627DF1" w:rsidRPr="002106EB">
        <w:rPr>
          <w:rFonts w:ascii="Arial" w:hAnsi="Arial" w:cs="Arial"/>
          <w:i/>
          <w:iCs/>
          <w:sz w:val="18"/>
          <w:szCs w:val="18"/>
        </w:rPr>
        <w:t>BMJ Open</w:t>
      </w:r>
      <w:r w:rsidR="00627DF1" w:rsidRPr="002106EB">
        <w:rPr>
          <w:rFonts w:ascii="Arial" w:hAnsi="Arial" w:cs="Arial"/>
          <w:sz w:val="18"/>
          <w:szCs w:val="18"/>
        </w:rPr>
        <w:t xml:space="preserve">, accessed 11 April 2023. See also: Sarah Collard. ‘Banksia Hill: autistic teenage girl ‘treated like a dog’ at detention centre, class action alleges.’ The Guardian. 13 Jan 2023. At:  </w:t>
      </w:r>
      <w:hyperlink r:id="rId4" w:history="1">
        <w:r w:rsidR="00627DF1" w:rsidRPr="002106EB">
          <w:rPr>
            <w:rStyle w:val="Hyperlink"/>
            <w:rFonts w:ascii="Arial" w:hAnsi="Arial" w:cs="Arial"/>
            <w:sz w:val="18"/>
            <w:szCs w:val="18"/>
          </w:rPr>
          <w:t>https://www.theguardian.com/australia-news/2023/jan/13/banksia-hill-teenage-girl-with-autism-treated-like-a-dog-at-detention-centre-class-action-alleges</w:t>
        </w:r>
      </w:hyperlink>
    </w:p>
  </w:footnote>
  <w:footnote w:id="5">
    <w:p w14:paraId="4075DC6B" w14:textId="28ED8258" w:rsidR="00CF748A" w:rsidRPr="002106EB" w:rsidRDefault="00CF748A" w:rsidP="00841BCD">
      <w:pPr>
        <w:pStyle w:val="FootnoteText"/>
        <w:spacing w:before="0"/>
        <w:rPr>
          <w:rFonts w:ascii="Arial" w:hAnsi="Arial" w:cs="Arial"/>
          <w:sz w:val="18"/>
          <w:szCs w:val="18"/>
        </w:rPr>
      </w:pPr>
      <w:r w:rsidRPr="002106EB">
        <w:rPr>
          <w:rStyle w:val="FootnoteReference"/>
          <w:rFonts w:ascii="Arial" w:hAnsi="Arial" w:cs="Arial"/>
          <w:sz w:val="18"/>
          <w:szCs w:val="18"/>
        </w:rPr>
        <w:footnoteRef/>
      </w:r>
      <w:r w:rsidRPr="002106EB">
        <w:rPr>
          <w:rFonts w:ascii="Arial" w:hAnsi="Arial" w:cs="Arial"/>
          <w:sz w:val="18"/>
          <w:szCs w:val="18"/>
        </w:rPr>
        <w:t xml:space="preserve"> </w:t>
      </w:r>
      <w:r w:rsidR="00BD32FE" w:rsidRPr="002106EB">
        <w:rPr>
          <w:rFonts w:ascii="Arial" w:hAnsi="Arial" w:cs="Arial"/>
          <w:sz w:val="18"/>
          <w:szCs w:val="18"/>
        </w:rPr>
        <w:t>CAT/C/AUS/CO/6 [p.40]</w:t>
      </w:r>
    </w:p>
  </w:footnote>
  <w:footnote w:id="6">
    <w:p w14:paraId="7563B32F" w14:textId="36E39FAC" w:rsidR="00E34453" w:rsidRPr="002106EB" w:rsidRDefault="00E34453" w:rsidP="00BB7E75">
      <w:pPr>
        <w:pStyle w:val="FootnoteText"/>
        <w:spacing w:before="0"/>
        <w:rPr>
          <w:rFonts w:ascii="Arial" w:hAnsi="Arial" w:cs="Arial"/>
          <w:sz w:val="18"/>
          <w:szCs w:val="18"/>
        </w:rPr>
      </w:pPr>
      <w:r w:rsidRPr="002106EB">
        <w:rPr>
          <w:rStyle w:val="FootnoteReference"/>
          <w:rFonts w:ascii="Arial" w:hAnsi="Arial" w:cs="Arial"/>
          <w:sz w:val="18"/>
          <w:szCs w:val="18"/>
        </w:rPr>
        <w:footnoteRef/>
      </w:r>
      <w:r w:rsidRPr="002106EB">
        <w:rPr>
          <w:rFonts w:ascii="Arial" w:hAnsi="Arial" w:cs="Arial"/>
          <w:sz w:val="18"/>
          <w:szCs w:val="18"/>
        </w:rPr>
        <w:t xml:space="preserve"> </w:t>
      </w:r>
      <w:r w:rsidR="009F0373" w:rsidRPr="002106EB">
        <w:rPr>
          <w:rFonts w:ascii="Arial" w:hAnsi="Arial" w:cs="Arial"/>
          <w:sz w:val="18"/>
          <w:szCs w:val="18"/>
        </w:rPr>
        <w:t xml:space="preserve">See: </w:t>
      </w:r>
      <w:r w:rsidR="007074DC" w:rsidRPr="002106EB">
        <w:rPr>
          <w:rFonts w:ascii="Arial" w:hAnsi="Arial" w:cs="Arial"/>
          <w:sz w:val="18"/>
          <w:szCs w:val="18"/>
        </w:rPr>
        <w:t>CRPD/C/AUS/CO/2-3 [p.24, 29, 30, 34]; CCPR/C/AUS/CO/6 [p.24,26]; CEDAW/C/AUS/CO/8 [p.26(b)(c)(d)</w:t>
      </w:r>
      <w:r w:rsidR="003074CC" w:rsidRPr="002106EB">
        <w:rPr>
          <w:rFonts w:ascii="Arial" w:hAnsi="Arial" w:cs="Arial"/>
          <w:sz w:val="18"/>
          <w:szCs w:val="18"/>
        </w:rPr>
        <w:t>]</w:t>
      </w:r>
      <w:r w:rsidR="007074DC" w:rsidRPr="002106EB">
        <w:rPr>
          <w:rFonts w:ascii="Arial" w:hAnsi="Arial" w:cs="Arial"/>
          <w:sz w:val="18"/>
          <w:szCs w:val="18"/>
        </w:rPr>
        <w:t xml:space="preserve">; </w:t>
      </w:r>
      <w:r w:rsidR="003074CC" w:rsidRPr="002106EB">
        <w:rPr>
          <w:rFonts w:ascii="Arial" w:hAnsi="Arial" w:cs="Arial"/>
          <w:sz w:val="18"/>
          <w:szCs w:val="18"/>
        </w:rPr>
        <w:t xml:space="preserve">E/C.12/AUS/CO/5 [p.36, 46]; CRC/C/AUS/CO/5-6 [p.30,31,43]; </w:t>
      </w:r>
      <w:r w:rsidR="00646622" w:rsidRPr="002106EB">
        <w:rPr>
          <w:rFonts w:ascii="Arial" w:hAnsi="Arial" w:cs="Arial"/>
          <w:sz w:val="18"/>
          <w:szCs w:val="18"/>
        </w:rPr>
        <w:t>CERD/C/AUS/CO/18-20 [p.28].</w:t>
      </w:r>
      <w:r w:rsidR="00BB7E75" w:rsidRPr="002106EB">
        <w:rPr>
          <w:rFonts w:ascii="Arial" w:hAnsi="Arial" w:cs="Arial"/>
          <w:sz w:val="18"/>
          <w:szCs w:val="18"/>
        </w:rPr>
        <w:t xml:space="preserve"> See also: </w:t>
      </w:r>
      <w:r w:rsidR="00BB7E75" w:rsidRPr="002106EB">
        <w:rPr>
          <w:rFonts w:ascii="Arial" w:hAnsi="Arial" w:cs="Arial"/>
          <w:sz w:val="18"/>
          <w:szCs w:val="18"/>
          <w:lang w:val="en-US"/>
        </w:rPr>
        <w:t>Juan E. Mendez, Special Rapporteur on torture and other cruel, inhuman or degrading treatment or punishment, 22</w:t>
      </w:r>
      <w:r w:rsidR="00BB7E75" w:rsidRPr="002106EB">
        <w:rPr>
          <w:rFonts w:ascii="Arial" w:hAnsi="Arial" w:cs="Arial"/>
          <w:sz w:val="18"/>
          <w:szCs w:val="18"/>
          <w:vertAlign w:val="superscript"/>
          <w:lang w:val="en-US"/>
        </w:rPr>
        <w:t>nd</w:t>
      </w:r>
      <w:r w:rsidR="00BB7E75" w:rsidRPr="002106EB">
        <w:rPr>
          <w:rFonts w:ascii="Arial" w:hAnsi="Arial" w:cs="Arial"/>
          <w:sz w:val="18"/>
          <w:szCs w:val="18"/>
          <w:lang w:val="en-US"/>
        </w:rPr>
        <w:t xml:space="preserve"> sess, Agenda Item 3, UN Doc A/HRC/22/53 (1 February 2013) para 64.</w:t>
      </w:r>
      <w:r w:rsidR="00841BCD" w:rsidRPr="002106EB">
        <w:rPr>
          <w:rFonts w:ascii="Arial" w:hAnsi="Arial" w:cs="Arial"/>
          <w:sz w:val="18"/>
          <w:szCs w:val="18"/>
          <w:lang w:val="en-US"/>
        </w:rPr>
        <w:t xml:space="preserve"> See also: </w:t>
      </w:r>
      <w:r w:rsidR="00841BCD" w:rsidRPr="002106EB">
        <w:rPr>
          <w:rFonts w:ascii="Arial" w:hAnsi="Arial" w:cs="Arial"/>
          <w:sz w:val="18"/>
          <w:szCs w:val="18"/>
        </w:rPr>
        <w:t xml:space="preserve">Joint statement by the Committee on the Rights of Persons with Disabilities (CRPD) and the Committee on the Elimination of All Forms of Discrimination against Women (CEDAW): </w:t>
      </w:r>
      <w:hyperlink r:id="rId5" w:history="1">
        <w:r w:rsidR="00841BCD" w:rsidRPr="002106EB">
          <w:rPr>
            <w:rStyle w:val="Hyperlink"/>
            <w:rFonts w:ascii="Arial" w:hAnsi="Arial" w:cs="Arial"/>
            <w:sz w:val="18"/>
            <w:szCs w:val="18"/>
          </w:rPr>
          <w:t>Guaranteeing sexual and reproductive health and rights for all women, in particular women with disabilities.</w:t>
        </w:r>
      </w:hyperlink>
      <w:r w:rsidR="00841BCD" w:rsidRPr="002106EB">
        <w:rPr>
          <w:rFonts w:ascii="Arial" w:hAnsi="Arial" w:cs="Arial"/>
          <w:sz w:val="18"/>
          <w:szCs w:val="18"/>
        </w:rPr>
        <w:t xml:space="preserve"> 29 August 2018.</w:t>
      </w:r>
    </w:p>
  </w:footnote>
  <w:footnote w:id="7">
    <w:p w14:paraId="5F87D867" w14:textId="7F854108" w:rsidR="008021E0" w:rsidRPr="002106EB" w:rsidRDefault="008021E0" w:rsidP="008021E0">
      <w:pPr>
        <w:pStyle w:val="FootnoteText"/>
        <w:spacing w:before="0"/>
        <w:rPr>
          <w:rFonts w:ascii="Arial" w:hAnsi="Arial" w:cs="Arial"/>
          <w:sz w:val="18"/>
          <w:szCs w:val="18"/>
        </w:rPr>
      </w:pPr>
      <w:r w:rsidRPr="002106EB">
        <w:rPr>
          <w:rStyle w:val="FootnoteReference"/>
          <w:rFonts w:ascii="Arial" w:hAnsi="Arial" w:cs="Arial"/>
          <w:sz w:val="18"/>
          <w:szCs w:val="18"/>
        </w:rPr>
        <w:footnoteRef/>
      </w:r>
      <w:r w:rsidRPr="002106EB">
        <w:rPr>
          <w:rFonts w:ascii="Arial" w:hAnsi="Arial" w:cs="Arial"/>
          <w:sz w:val="18"/>
          <w:szCs w:val="18"/>
        </w:rPr>
        <w:t xml:space="preserve"> A/72/55 (2017).</w:t>
      </w:r>
      <w:r w:rsidR="00802A21" w:rsidRPr="002106EB">
        <w:rPr>
          <w:rFonts w:ascii="Arial" w:hAnsi="Arial" w:cs="Arial"/>
          <w:sz w:val="18"/>
          <w:szCs w:val="18"/>
        </w:rPr>
        <w:t xml:space="preserve"> See also: CRPD/C/AUS/CO/2-3 [p.24, 29, 30, 34].</w:t>
      </w:r>
    </w:p>
  </w:footnote>
  <w:footnote w:id="8">
    <w:p w14:paraId="4F3E5F9B" w14:textId="2E5B1A06" w:rsidR="0025666B" w:rsidRPr="002106EB" w:rsidRDefault="0025666B" w:rsidP="00524767">
      <w:pPr>
        <w:pStyle w:val="FootnoteText"/>
        <w:spacing w:before="0"/>
        <w:rPr>
          <w:rFonts w:ascii="Arial" w:hAnsi="Arial" w:cs="Arial"/>
          <w:sz w:val="18"/>
          <w:szCs w:val="18"/>
        </w:rPr>
      </w:pPr>
      <w:r w:rsidRPr="002106EB">
        <w:rPr>
          <w:rStyle w:val="FootnoteReference"/>
          <w:rFonts w:ascii="Arial" w:hAnsi="Arial" w:cs="Arial"/>
          <w:sz w:val="18"/>
          <w:szCs w:val="18"/>
        </w:rPr>
        <w:footnoteRef/>
      </w:r>
      <w:r w:rsidRPr="002106EB">
        <w:rPr>
          <w:rFonts w:ascii="Arial" w:hAnsi="Arial" w:cs="Arial"/>
          <w:sz w:val="18"/>
          <w:szCs w:val="18"/>
        </w:rPr>
        <w:t xml:space="preserve"> CAT/OP/12/6 [p.2].</w:t>
      </w:r>
      <w:r w:rsidR="00A14BDC" w:rsidRPr="002106EB">
        <w:rPr>
          <w:rFonts w:ascii="Arial" w:hAnsi="Arial" w:cs="Arial"/>
          <w:sz w:val="18"/>
          <w:szCs w:val="18"/>
        </w:rPr>
        <w:t xml:space="preserve"> See also: CAT/OP/27/1 [p.14].</w:t>
      </w:r>
    </w:p>
  </w:footnote>
  <w:footnote w:id="9">
    <w:p w14:paraId="2A2E1165" w14:textId="77777777" w:rsidR="004117F2" w:rsidRPr="002106EB" w:rsidRDefault="004117F2" w:rsidP="004117F2">
      <w:pPr>
        <w:pStyle w:val="FootnoteText"/>
        <w:spacing w:before="0"/>
        <w:rPr>
          <w:rFonts w:ascii="Arial" w:hAnsi="Arial" w:cs="Arial"/>
          <w:sz w:val="18"/>
          <w:szCs w:val="18"/>
        </w:rPr>
      </w:pPr>
      <w:r w:rsidRPr="002106EB">
        <w:rPr>
          <w:rStyle w:val="FootnoteReference"/>
          <w:rFonts w:ascii="Arial" w:hAnsi="Arial" w:cs="Arial"/>
          <w:sz w:val="18"/>
          <w:szCs w:val="18"/>
        </w:rPr>
        <w:footnoteRef/>
      </w:r>
      <w:r w:rsidRPr="002106EB">
        <w:rPr>
          <w:rFonts w:ascii="Arial" w:hAnsi="Arial" w:cs="Arial"/>
          <w:sz w:val="18"/>
          <w:szCs w:val="18"/>
        </w:rPr>
        <w:t xml:space="preserve"> CRPD/C/GC/1</w:t>
      </w:r>
    </w:p>
  </w:footnote>
  <w:footnote w:id="10">
    <w:p w14:paraId="55AA768A" w14:textId="2478B66D" w:rsidR="00524767" w:rsidRPr="002106EB" w:rsidRDefault="00524767" w:rsidP="00524767">
      <w:pPr>
        <w:pStyle w:val="FootnoteText"/>
        <w:spacing w:before="0"/>
        <w:rPr>
          <w:rFonts w:ascii="Arial" w:hAnsi="Arial" w:cs="Arial"/>
          <w:sz w:val="18"/>
          <w:szCs w:val="18"/>
        </w:rPr>
      </w:pPr>
      <w:r w:rsidRPr="002106EB">
        <w:rPr>
          <w:rStyle w:val="FootnoteReference"/>
          <w:rFonts w:ascii="Arial" w:hAnsi="Arial" w:cs="Arial"/>
          <w:sz w:val="18"/>
          <w:szCs w:val="18"/>
        </w:rPr>
        <w:footnoteRef/>
      </w:r>
      <w:r w:rsidRPr="002106EB">
        <w:rPr>
          <w:rFonts w:ascii="Arial" w:hAnsi="Arial" w:cs="Arial"/>
          <w:sz w:val="18"/>
          <w:szCs w:val="18"/>
        </w:rPr>
        <w:t xml:space="preserve"> CAT/OP/27/1 [p.5] </w:t>
      </w:r>
    </w:p>
  </w:footnote>
  <w:footnote w:id="11">
    <w:p w14:paraId="546DEF35" w14:textId="23AC05F2" w:rsidR="00524767" w:rsidRPr="002106EB" w:rsidRDefault="00524767" w:rsidP="00524767">
      <w:pPr>
        <w:pStyle w:val="FootnoteText"/>
        <w:spacing w:before="0"/>
        <w:rPr>
          <w:rFonts w:ascii="Arial" w:hAnsi="Arial" w:cs="Arial"/>
          <w:sz w:val="18"/>
          <w:szCs w:val="18"/>
        </w:rPr>
      </w:pPr>
      <w:r w:rsidRPr="002106EB">
        <w:rPr>
          <w:rStyle w:val="FootnoteReference"/>
          <w:rFonts w:ascii="Arial" w:hAnsi="Arial" w:cs="Arial"/>
          <w:sz w:val="18"/>
          <w:szCs w:val="18"/>
        </w:rPr>
        <w:footnoteRef/>
      </w:r>
      <w:r w:rsidRPr="002106EB">
        <w:rPr>
          <w:rFonts w:ascii="Arial" w:hAnsi="Arial" w:cs="Arial"/>
          <w:sz w:val="18"/>
          <w:szCs w:val="18"/>
        </w:rPr>
        <w:t xml:space="preserve"> CAT/OP/27/1 [p.13]</w:t>
      </w:r>
    </w:p>
  </w:footnote>
  <w:footnote w:id="12">
    <w:p w14:paraId="53A2CD1A" w14:textId="77777777" w:rsidR="00182D74" w:rsidRPr="002106EB" w:rsidRDefault="00182D74" w:rsidP="00182D74">
      <w:pPr>
        <w:pStyle w:val="FootnoteText"/>
        <w:spacing w:before="0"/>
        <w:rPr>
          <w:rFonts w:ascii="Arial" w:hAnsi="Arial" w:cs="Arial"/>
          <w:sz w:val="18"/>
          <w:szCs w:val="18"/>
        </w:rPr>
      </w:pPr>
      <w:r w:rsidRPr="002106EB">
        <w:rPr>
          <w:rStyle w:val="FootnoteReference"/>
          <w:rFonts w:ascii="Arial" w:hAnsi="Arial" w:cs="Arial"/>
          <w:sz w:val="18"/>
          <w:szCs w:val="18"/>
        </w:rPr>
        <w:footnoteRef/>
      </w:r>
      <w:r w:rsidRPr="002106EB">
        <w:rPr>
          <w:rFonts w:ascii="Arial" w:hAnsi="Arial" w:cs="Arial"/>
          <w:sz w:val="18"/>
          <w:szCs w:val="18"/>
        </w:rPr>
        <w:t xml:space="preserve"> CAT/OP/27/1 [p.14]</w:t>
      </w:r>
    </w:p>
    <w:p w14:paraId="27A34446" w14:textId="77777777" w:rsidR="00182D74" w:rsidRPr="002106EB" w:rsidRDefault="00182D74" w:rsidP="00182D74">
      <w:pPr>
        <w:pStyle w:val="FootnoteText"/>
        <w:spacing w:before="0"/>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1465"/>
    <w:multiLevelType w:val="hybridMultilevel"/>
    <w:tmpl w:val="144C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100FD9"/>
    <w:multiLevelType w:val="hybridMultilevel"/>
    <w:tmpl w:val="4FF60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059851">
    <w:abstractNumId w:val="1"/>
  </w:num>
  <w:num w:numId="2" w16cid:durableId="23606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3C"/>
    <w:rsid w:val="000015A2"/>
    <w:rsid w:val="00012443"/>
    <w:rsid w:val="00044B9E"/>
    <w:rsid w:val="00062CD4"/>
    <w:rsid w:val="0006794A"/>
    <w:rsid w:val="00071741"/>
    <w:rsid w:val="00084113"/>
    <w:rsid w:val="00092844"/>
    <w:rsid w:val="000D20B9"/>
    <w:rsid w:val="000E570D"/>
    <w:rsid w:val="001215E6"/>
    <w:rsid w:val="00146B72"/>
    <w:rsid w:val="00182D74"/>
    <w:rsid w:val="00185D8E"/>
    <w:rsid w:val="0018791C"/>
    <w:rsid w:val="001C3A97"/>
    <w:rsid w:val="001C43AB"/>
    <w:rsid w:val="001F1CBF"/>
    <w:rsid w:val="00205E42"/>
    <w:rsid w:val="002106EB"/>
    <w:rsid w:val="0025666B"/>
    <w:rsid w:val="0026524F"/>
    <w:rsid w:val="00281B0E"/>
    <w:rsid w:val="003074CC"/>
    <w:rsid w:val="00326257"/>
    <w:rsid w:val="003514D1"/>
    <w:rsid w:val="00364F18"/>
    <w:rsid w:val="00374D5A"/>
    <w:rsid w:val="00381B22"/>
    <w:rsid w:val="003A47FB"/>
    <w:rsid w:val="003E3F7C"/>
    <w:rsid w:val="004117F2"/>
    <w:rsid w:val="0045529D"/>
    <w:rsid w:val="004D0FB6"/>
    <w:rsid w:val="004D1B67"/>
    <w:rsid w:val="004E5C0A"/>
    <w:rsid w:val="00524767"/>
    <w:rsid w:val="005407BB"/>
    <w:rsid w:val="0055002A"/>
    <w:rsid w:val="00556663"/>
    <w:rsid w:val="0058704F"/>
    <w:rsid w:val="00591581"/>
    <w:rsid w:val="005A04E6"/>
    <w:rsid w:val="005C6CC3"/>
    <w:rsid w:val="00602C0B"/>
    <w:rsid w:val="00621901"/>
    <w:rsid w:val="00627DF1"/>
    <w:rsid w:val="00646622"/>
    <w:rsid w:val="00656F0E"/>
    <w:rsid w:val="00657ED7"/>
    <w:rsid w:val="00666B2A"/>
    <w:rsid w:val="00670189"/>
    <w:rsid w:val="006822EA"/>
    <w:rsid w:val="00685069"/>
    <w:rsid w:val="0068791A"/>
    <w:rsid w:val="006E0009"/>
    <w:rsid w:val="00702648"/>
    <w:rsid w:val="007074DC"/>
    <w:rsid w:val="007118D4"/>
    <w:rsid w:val="0075764E"/>
    <w:rsid w:val="00761386"/>
    <w:rsid w:val="00761899"/>
    <w:rsid w:val="00780742"/>
    <w:rsid w:val="007A0276"/>
    <w:rsid w:val="007A6399"/>
    <w:rsid w:val="007D0D15"/>
    <w:rsid w:val="007E544D"/>
    <w:rsid w:val="007F36DC"/>
    <w:rsid w:val="008021E0"/>
    <w:rsid w:val="00802A21"/>
    <w:rsid w:val="008031B7"/>
    <w:rsid w:val="008334C1"/>
    <w:rsid w:val="00841BCD"/>
    <w:rsid w:val="00882D69"/>
    <w:rsid w:val="00887AF8"/>
    <w:rsid w:val="008C1D84"/>
    <w:rsid w:val="008D0491"/>
    <w:rsid w:val="009177BB"/>
    <w:rsid w:val="009448B2"/>
    <w:rsid w:val="009A2F2F"/>
    <w:rsid w:val="009A6F06"/>
    <w:rsid w:val="009A7A3C"/>
    <w:rsid w:val="009E5C2C"/>
    <w:rsid w:val="009F0373"/>
    <w:rsid w:val="009F69AE"/>
    <w:rsid w:val="00A03600"/>
    <w:rsid w:val="00A14BDC"/>
    <w:rsid w:val="00A1528E"/>
    <w:rsid w:val="00A3235E"/>
    <w:rsid w:val="00A6633B"/>
    <w:rsid w:val="00AA4FDE"/>
    <w:rsid w:val="00AB5ED3"/>
    <w:rsid w:val="00AB709D"/>
    <w:rsid w:val="00AC060B"/>
    <w:rsid w:val="00AF7B1B"/>
    <w:rsid w:val="00B13591"/>
    <w:rsid w:val="00B41023"/>
    <w:rsid w:val="00B767E1"/>
    <w:rsid w:val="00BB7E75"/>
    <w:rsid w:val="00BD32FE"/>
    <w:rsid w:val="00BE1490"/>
    <w:rsid w:val="00BF68AD"/>
    <w:rsid w:val="00C0477E"/>
    <w:rsid w:val="00C20A65"/>
    <w:rsid w:val="00C255D9"/>
    <w:rsid w:val="00C3063E"/>
    <w:rsid w:val="00C54546"/>
    <w:rsid w:val="00C76637"/>
    <w:rsid w:val="00C93409"/>
    <w:rsid w:val="00C95A23"/>
    <w:rsid w:val="00CC418B"/>
    <w:rsid w:val="00CC7D9C"/>
    <w:rsid w:val="00CF415E"/>
    <w:rsid w:val="00CF748A"/>
    <w:rsid w:val="00D501A1"/>
    <w:rsid w:val="00D760B5"/>
    <w:rsid w:val="00DA2ECF"/>
    <w:rsid w:val="00DB54D6"/>
    <w:rsid w:val="00DD3F3B"/>
    <w:rsid w:val="00DF7AAF"/>
    <w:rsid w:val="00E16E2B"/>
    <w:rsid w:val="00E34453"/>
    <w:rsid w:val="00E60C4A"/>
    <w:rsid w:val="00E63FDD"/>
    <w:rsid w:val="00E97F21"/>
    <w:rsid w:val="00F61331"/>
    <w:rsid w:val="00F6777B"/>
    <w:rsid w:val="00F85676"/>
    <w:rsid w:val="00F94D97"/>
    <w:rsid w:val="00FB18AD"/>
    <w:rsid w:val="00FC6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9FE5"/>
  <w15:chartTrackingRefBased/>
  <w15:docId w15:val="{E03F93C9-3113-4143-9F01-DD904D73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A3C"/>
    <w:pPr>
      <w:spacing w:after="160" w:line="259" w:lineRule="auto"/>
    </w:pPr>
    <w:rPr>
      <w:sz w:val="22"/>
      <w:szCs w:val="22"/>
    </w:rPr>
  </w:style>
  <w:style w:type="paragraph" w:styleId="Heading1">
    <w:name w:val="heading 1"/>
    <w:basedOn w:val="Normal"/>
    <w:next w:val="Normal"/>
    <w:link w:val="Heading1Char"/>
    <w:uiPriority w:val="9"/>
    <w:qFormat/>
    <w:rsid w:val="00044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D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A7A3C"/>
    <w:pPr>
      <w:spacing w:before="240" w:after="240" w:line="360" w:lineRule="auto"/>
    </w:pPr>
    <w:rPr>
      <w:rFonts w:ascii="Arial" w:eastAsia="Arial" w:hAnsi="Arial" w:cs="Arial"/>
      <w:color w:val="000000"/>
      <w:sz w:val="24"/>
      <w:szCs w:val="24"/>
      <w:lang w:val="en-US"/>
    </w:rPr>
  </w:style>
  <w:style w:type="character" w:customStyle="1" w:styleId="BodyTextChar">
    <w:name w:val="Body Text Char"/>
    <w:basedOn w:val="DefaultParagraphFont"/>
    <w:link w:val="BodyText"/>
    <w:rsid w:val="009A7A3C"/>
    <w:rPr>
      <w:rFonts w:ascii="Arial" w:eastAsia="Arial" w:hAnsi="Arial" w:cs="Arial"/>
      <w:color w:val="000000"/>
      <w:lang w:val="en-US"/>
    </w:rPr>
  </w:style>
  <w:style w:type="character" w:styleId="Hyperlink">
    <w:name w:val="Hyperlink"/>
    <w:basedOn w:val="DefaultParagraphFont"/>
    <w:uiPriority w:val="99"/>
    <w:unhideWhenUsed/>
    <w:rsid w:val="009A7A3C"/>
    <w:rPr>
      <w:color w:val="0563C1" w:themeColor="hyperlink"/>
      <w:u w:val="single"/>
    </w:rPr>
  </w:style>
  <w:style w:type="character" w:styleId="UnresolvedMention">
    <w:name w:val="Unresolved Mention"/>
    <w:basedOn w:val="DefaultParagraphFont"/>
    <w:uiPriority w:val="99"/>
    <w:semiHidden/>
    <w:unhideWhenUsed/>
    <w:rsid w:val="009A7A3C"/>
    <w:rPr>
      <w:color w:val="605E5C"/>
      <w:shd w:val="clear" w:color="auto" w:fill="E1DFDD"/>
    </w:rPr>
  </w:style>
  <w:style w:type="paragraph" w:styleId="Footer">
    <w:name w:val="footer"/>
    <w:basedOn w:val="Normal"/>
    <w:link w:val="FooterChar"/>
    <w:uiPriority w:val="99"/>
    <w:unhideWhenUsed/>
    <w:rsid w:val="00882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D69"/>
    <w:rPr>
      <w:sz w:val="22"/>
      <w:szCs w:val="22"/>
    </w:rPr>
  </w:style>
  <w:style w:type="character" w:styleId="PageNumber">
    <w:name w:val="page number"/>
    <w:basedOn w:val="DefaultParagraphFont"/>
    <w:uiPriority w:val="99"/>
    <w:semiHidden/>
    <w:unhideWhenUsed/>
    <w:rsid w:val="00882D69"/>
  </w:style>
  <w:style w:type="paragraph" w:styleId="FootnoteText">
    <w:name w:val="footnote text"/>
    <w:basedOn w:val="Normal"/>
    <w:link w:val="FootnoteTextChar"/>
    <w:uiPriority w:val="99"/>
    <w:unhideWhenUsed/>
    <w:rsid w:val="00761386"/>
    <w:pPr>
      <w:spacing w:before="240" w:after="0" w:line="240" w:lineRule="auto"/>
    </w:pPr>
    <w:rPr>
      <w:sz w:val="20"/>
      <w:szCs w:val="20"/>
    </w:rPr>
  </w:style>
  <w:style w:type="character" w:customStyle="1" w:styleId="FootnoteTextChar">
    <w:name w:val="Footnote Text Char"/>
    <w:basedOn w:val="DefaultParagraphFont"/>
    <w:link w:val="FootnoteText"/>
    <w:uiPriority w:val="99"/>
    <w:rsid w:val="00761386"/>
    <w:rPr>
      <w:sz w:val="20"/>
      <w:szCs w:val="20"/>
    </w:rPr>
  </w:style>
  <w:style w:type="character" w:styleId="FootnoteReference">
    <w:name w:val="footnote reference"/>
    <w:basedOn w:val="DefaultParagraphFont"/>
    <w:uiPriority w:val="99"/>
    <w:unhideWhenUsed/>
    <w:rsid w:val="00761386"/>
    <w:rPr>
      <w:vertAlign w:val="superscript"/>
    </w:rPr>
  </w:style>
  <w:style w:type="paragraph" w:styleId="NormalWeb">
    <w:name w:val="Normal (Web)"/>
    <w:basedOn w:val="Normal"/>
    <w:uiPriority w:val="99"/>
    <w:semiHidden/>
    <w:unhideWhenUsed/>
    <w:rsid w:val="007074DC"/>
    <w:rPr>
      <w:rFonts w:ascii="Times New Roman" w:hAnsi="Times New Roman" w:cs="Times New Roman"/>
      <w:sz w:val="24"/>
      <w:szCs w:val="24"/>
    </w:rPr>
  </w:style>
  <w:style w:type="paragraph" w:styleId="EndnoteText">
    <w:name w:val="endnote text"/>
    <w:basedOn w:val="Normal"/>
    <w:link w:val="EndnoteTextChar"/>
    <w:uiPriority w:val="99"/>
    <w:unhideWhenUsed/>
    <w:rsid w:val="00BB7E7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EndnoteTextChar">
    <w:name w:val="Endnote Text Char"/>
    <w:basedOn w:val="DefaultParagraphFont"/>
    <w:link w:val="EndnoteText"/>
    <w:uiPriority w:val="99"/>
    <w:rsid w:val="00BB7E75"/>
    <w:rPr>
      <w:rFonts w:ascii="Times New Roman" w:eastAsia="Arial Unicode MS" w:hAnsi="Times New Roman" w:cs="Times New Roman"/>
      <w:sz w:val="20"/>
      <w:szCs w:val="20"/>
      <w:bdr w:val="nil"/>
      <w:lang w:val="en-US"/>
    </w:rPr>
  </w:style>
  <w:style w:type="character" w:customStyle="1" w:styleId="Heading1Char">
    <w:name w:val="Heading 1 Char"/>
    <w:basedOn w:val="DefaultParagraphFont"/>
    <w:link w:val="Heading1"/>
    <w:uiPriority w:val="9"/>
    <w:rsid w:val="00044B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F69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9A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94D9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E5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C2C"/>
    <w:rPr>
      <w:rFonts w:ascii="Segoe UI" w:hAnsi="Segoe UI" w:cs="Segoe UI"/>
      <w:sz w:val="18"/>
      <w:szCs w:val="18"/>
    </w:rPr>
  </w:style>
  <w:style w:type="paragraph" w:styleId="Revision">
    <w:name w:val="Revision"/>
    <w:hidden/>
    <w:uiPriority w:val="99"/>
    <w:semiHidden/>
    <w:rsid w:val="003E3F7C"/>
    <w:rPr>
      <w:sz w:val="22"/>
      <w:szCs w:val="22"/>
    </w:rPr>
  </w:style>
  <w:style w:type="paragraph" w:styleId="Header">
    <w:name w:val="header"/>
    <w:basedOn w:val="Normal"/>
    <w:link w:val="HeaderChar"/>
    <w:uiPriority w:val="99"/>
    <w:unhideWhenUsed/>
    <w:rsid w:val="00C95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A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924">
      <w:bodyDiv w:val="1"/>
      <w:marLeft w:val="0"/>
      <w:marRight w:val="0"/>
      <w:marTop w:val="0"/>
      <w:marBottom w:val="0"/>
      <w:divBdr>
        <w:top w:val="none" w:sz="0" w:space="0" w:color="auto"/>
        <w:left w:val="none" w:sz="0" w:space="0" w:color="auto"/>
        <w:bottom w:val="none" w:sz="0" w:space="0" w:color="auto"/>
        <w:right w:val="none" w:sz="0" w:space="0" w:color="auto"/>
      </w:divBdr>
      <w:divsChild>
        <w:div w:id="1112241123">
          <w:marLeft w:val="0"/>
          <w:marRight w:val="0"/>
          <w:marTop w:val="0"/>
          <w:marBottom w:val="0"/>
          <w:divBdr>
            <w:top w:val="none" w:sz="0" w:space="0" w:color="auto"/>
            <w:left w:val="none" w:sz="0" w:space="0" w:color="auto"/>
            <w:bottom w:val="none" w:sz="0" w:space="0" w:color="auto"/>
            <w:right w:val="none" w:sz="0" w:space="0" w:color="auto"/>
          </w:divBdr>
          <w:divsChild>
            <w:div w:id="1688289810">
              <w:marLeft w:val="0"/>
              <w:marRight w:val="0"/>
              <w:marTop w:val="0"/>
              <w:marBottom w:val="0"/>
              <w:divBdr>
                <w:top w:val="none" w:sz="0" w:space="0" w:color="auto"/>
                <w:left w:val="none" w:sz="0" w:space="0" w:color="auto"/>
                <w:bottom w:val="none" w:sz="0" w:space="0" w:color="auto"/>
                <w:right w:val="none" w:sz="0" w:space="0" w:color="auto"/>
              </w:divBdr>
              <w:divsChild>
                <w:div w:id="2172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2759">
      <w:bodyDiv w:val="1"/>
      <w:marLeft w:val="0"/>
      <w:marRight w:val="0"/>
      <w:marTop w:val="0"/>
      <w:marBottom w:val="0"/>
      <w:divBdr>
        <w:top w:val="none" w:sz="0" w:space="0" w:color="auto"/>
        <w:left w:val="none" w:sz="0" w:space="0" w:color="auto"/>
        <w:bottom w:val="none" w:sz="0" w:space="0" w:color="auto"/>
        <w:right w:val="none" w:sz="0" w:space="0" w:color="auto"/>
      </w:divBdr>
    </w:div>
    <w:div w:id="547496585">
      <w:bodyDiv w:val="1"/>
      <w:marLeft w:val="0"/>
      <w:marRight w:val="0"/>
      <w:marTop w:val="0"/>
      <w:marBottom w:val="0"/>
      <w:divBdr>
        <w:top w:val="none" w:sz="0" w:space="0" w:color="auto"/>
        <w:left w:val="none" w:sz="0" w:space="0" w:color="auto"/>
        <w:bottom w:val="none" w:sz="0" w:space="0" w:color="auto"/>
        <w:right w:val="none" w:sz="0" w:space="0" w:color="auto"/>
      </w:divBdr>
      <w:divsChild>
        <w:div w:id="796224233">
          <w:marLeft w:val="0"/>
          <w:marRight w:val="0"/>
          <w:marTop w:val="0"/>
          <w:marBottom w:val="0"/>
          <w:divBdr>
            <w:top w:val="none" w:sz="0" w:space="0" w:color="auto"/>
            <w:left w:val="none" w:sz="0" w:space="0" w:color="auto"/>
            <w:bottom w:val="none" w:sz="0" w:space="0" w:color="auto"/>
            <w:right w:val="none" w:sz="0" w:space="0" w:color="auto"/>
          </w:divBdr>
          <w:divsChild>
            <w:div w:id="1427849528">
              <w:marLeft w:val="0"/>
              <w:marRight w:val="0"/>
              <w:marTop w:val="0"/>
              <w:marBottom w:val="0"/>
              <w:divBdr>
                <w:top w:val="none" w:sz="0" w:space="0" w:color="auto"/>
                <w:left w:val="none" w:sz="0" w:space="0" w:color="auto"/>
                <w:bottom w:val="none" w:sz="0" w:space="0" w:color="auto"/>
                <w:right w:val="none" w:sz="0" w:space="0" w:color="auto"/>
              </w:divBdr>
              <w:divsChild>
                <w:div w:id="1805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49577">
      <w:bodyDiv w:val="1"/>
      <w:marLeft w:val="0"/>
      <w:marRight w:val="0"/>
      <w:marTop w:val="0"/>
      <w:marBottom w:val="0"/>
      <w:divBdr>
        <w:top w:val="none" w:sz="0" w:space="0" w:color="auto"/>
        <w:left w:val="none" w:sz="0" w:space="0" w:color="auto"/>
        <w:bottom w:val="none" w:sz="0" w:space="0" w:color="auto"/>
        <w:right w:val="none" w:sz="0" w:space="0" w:color="auto"/>
      </w:divBdr>
      <w:divsChild>
        <w:div w:id="1825926223">
          <w:marLeft w:val="0"/>
          <w:marRight w:val="0"/>
          <w:marTop w:val="0"/>
          <w:marBottom w:val="0"/>
          <w:divBdr>
            <w:top w:val="none" w:sz="0" w:space="0" w:color="auto"/>
            <w:left w:val="none" w:sz="0" w:space="0" w:color="auto"/>
            <w:bottom w:val="none" w:sz="0" w:space="0" w:color="auto"/>
            <w:right w:val="none" w:sz="0" w:space="0" w:color="auto"/>
          </w:divBdr>
          <w:divsChild>
            <w:div w:id="1208222019">
              <w:marLeft w:val="0"/>
              <w:marRight w:val="0"/>
              <w:marTop w:val="0"/>
              <w:marBottom w:val="0"/>
              <w:divBdr>
                <w:top w:val="none" w:sz="0" w:space="0" w:color="auto"/>
                <w:left w:val="none" w:sz="0" w:space="0" w:color="auto"/>
                <w:bottom w:val="none" w:sz="0" w:space="0" w:color="auto"/>
                <w:right w:val="none" w:sz="0" w:space="0" w:color="auto"/>
              </w:divBdr>
              <w:divsChild>
                <w:div w:id="6343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69629">
      <w:bodyDiv w:val="1"/>
      <w:marLeft w:val="0"/>
      <w:marRight w:val="0"/>
      <w:marTop w:val="0"/>
      <w:marBottom w:val="0"/>
      <w:divBdr>
        <w:top w:val="none" w:sz="0" w:space="0" w:color="auto"/>
        <w:left w:val="none" w:sz="0" w:space="0" w:color="auto"/>
        <w:bottom w:val="none" w:sz="0" w:space="0" w:color="auto"/>
        <w:right w:val="none" w:sz="0" w:space="0" w:color="auto"/>
      </w:divBdr>
      <w:divsChild>
        <w:div w:id="1183544440">
          <w:marLeft w:val="0"/>
          <w:marRight w:val="0"/>
          <w:marTop w:val="0"/>
          <w:marBottom w:val="0"/>
          <w:divBdr>
            <w:top w:val="none" w:sz="0" w:space="0" w:color="auto"/>
            <w:left w:val="none" w:sz="0" w:space="0" w:color="auto"/>
            <w:bottom w:val="none" w:sz="0" w:space="0" w:color="auto"/>
            <w:right w:val="none" w:sz="0" w:space="0" w:color="auto"/>
          </w:divBdr>
          <w:divsChild>
            <w:div w:id="1773357273">
              <w:marLeft w:val="0"/>
              <w:marRight w:val="0"/>
              <w:marTop w:val="0"/>
              <w:marBottom w:val="0"/>
              <w:divBdr>
                <w:top w:val="none" w:sz="0" w:space="0" w:color="auto"/>
                <w:left w:val="none" w:sz="0" w:space="0" w:color="auto"/>
                <w:bottom w:val="none" w:sz="0" w:space="0" w:color="auto"/>
                <w:right w:val="none" w:sz="0" w:space="0" w:color="auto"/>
              </w:divBdr>
              <w:divsChild>
                <w:div w:id="4862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2222">
      <w:bodyDiv w:val="1"/>
      <w:marLeft w:val="0"/>
      <w:marRight w:val="0"/>
      <w:marTop w:val="0"/>
      <w:marBottom w:val="0"/>
      <w:divBdr>
        <w:top w:val="none" w:sz="0" w:space="0" w:color="auto"/>
        <w:left w:val="none" w:sz="0" w:space="0" w:color="auto"/>
        <w:bottom w:val="none" w:sz="0" w:space="0" w:color="auto"/>
        <w:right w:val="none" w:sz="0" w:space="0" w:color="auto"/>
      </w:divBdr>
    </w:div>
    <w:div w:id="1805081010">
      <w:bodyDiv w:val="1"/>
      <w:marLeft w:val="0"/>
      <w:marRight w:val="0"/>
      <w:marTop w:val="0"/>
      <w:marBottom w:val="0"/>
      <w:divBdr>
        <w:top w:val="none" w:sz="0" w:space="0" w:color="auto"/>
        <w:left w:val="none" w:sz="0" w:space="0" w:color="auto"/>
        <w:bottom w:val="none" w:sz="0" w:space="0" w:color="auto"/>
        <w:right w:val="none" w:sz="0" w:space="0" w:color="auto"/>
      </w:divBdr>
      <w:divsChild>
        <w:div w:id="1499468444">
          <w:marLeft w:val="0"/>
          <w:marRight w:val="0"/>
          <w:marTop w:val="0"/>
          <w:marBottom w:val="0"/>
          <w:divBdr>
            <w:top w:val="none" w:sz="0" w:space="0" w:color="auto"/>
            <w:left w:val="none" w:sz="0" w:space="0" w:color="auto"/>
            <w:bottom w:val="none" w:sz="0" w:space="0" w:color="auto"/>
            <w:right w:val="none" w:sz="0" w:space="0" w:color="auto"/>
          </w:divBdr>
          <w:divsChild>
            <w:div w:id="455833954">
              <w:marLeft w:val="0"/>
              <w:marRight w:val="0"/>
              <w:marTop w:val="0"/>
              <w:marBottom w:val="0"/>
              <w:divBdr>
                <w:top w:val="none" w:sz="0" w:space="0" w:color="auto"/>
                <w:left w:val="none" w:sz="0" w:space="0" w:color="auto"/>
                <w:bottom w:val="none" w:sz="0" w:space="0" w:color="auto"/>
                <w:right w:val="none" w:sz="0" w:space="0" w:color="auto"/>
              </w:divBdr>
              <w:divsChild>
                <w:div w:id="12298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olyn@wwd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iancarlod@pwd.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wd.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mjopen.bmj.com/content/8/2/e019605.info" TargetMode="External"/><Relationship Id="rId2" Type="http://schemas.openxmlformats.org/officeDocument/2006/relationships/hyperlink" Target="https://www.abs.gov.au/statistics/people/crime-and-justice/prisoners-australia/latest-release" TargetMode="External"/><Relationship Id="rId1" Type="http://schemas.openxmlformats.org/officeDocument/2006/relationships/hyperlink" Target="https://dpoa.org.au/wp-content/uploads/2020/11/Segregation-of-People-with-Disability_Position-Paper.pdf" TargetMode="External"/><Relationship Id="rId5" Type="http://schemas.openxmlformats.org/officeDocument/2006/relationships/hyperlink" Target="http://wwda.org.au/crpd-cedaw-joint-statement-reprorights/" TargetMode="External"/><Relationship Id="rId4" Type="http://schemas.openxmlformats.org/officeDocument/2006/relationships/hyperlink" Target="https://www.theguardian.com/australia-news/2023/jan/13/banksia-hill-teenage-girl-with-autism-treated-like-a-dog-at-detention-centre-class-action-a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5" ma:contentTypeDescription="Create a new document." ma:contentTypeScope="" ma:versionID="585fcba33eac6ef75a698b4fd3e180b2">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571cdbb5a9267b8b6f59149a7eac45cd"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34ce3a-5e91-4c3e-a547-d26872c14688}"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8D39D-BA53-4D5D-B160-42738C9488C5}">
  <ds:schemaRefs>
    <ds:schemaRef ds:uri="http://schemas.microsoft.com/sharepoint/v3/contenttype/forms"/>
  </ds:schemaRefs>
</ds:datastoreItem>
</file>

<file path=customXml/itemProps2.xml><?xml version="1.0" encoding="utf-8"?>
<ds:datastoreItem xmlns:ds="http://schemas.openxmlformats.org/officeDocument/2006/customXml" ds:itemID="{FA0BAC2C-4AE7-4EC5-8B63-C987EE502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BE5DE-C8A2-4ADE-86FB-AFCB77EE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 | Women With Disabilities Australia</dc:creator>
  <cp:keywords/>
  <dc:description/>
  <cp:lastModifiedBy>Carolyn Frohmader</cp:lastModifiedBy>
  <cp:revision>2</cp:revision>
  <cp:lastPrinted>2023-04-13T01:30:00Z</cp:lastPrinted>
  <dcterms:created xsi:type="dcterms:W3CDTF">2023-04-14T06:15:00Z</dcterms:created>
  <dcterms:modified xsi:type="dcterms:W3CDTF">2023-04-14T06:15:00Z</dcterms:modified>
</cp:coreProperties>
</file>