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CD01" w14:textId="77777777" w:rsidR="00874565" w:rsidRPr="0004018A" w:rsidRDefault="00874565" w:rsidP="00874565">
      <w:pPr>
        <w:spacing w:after="0" w:line="240" w:lineRule="auto"/>
        <w:ind w:left="0" w:firstLine="0"/>
        <w:rPr>
          <w:rStyle w:val="Hyperlink"/>
          <w:rFonts w:ascii="Calibri" w:hAnsi="Calibri" w:cs="Calibri"/>
        </w:rPr>
      </w:pPr>
    </w:p>
    <w:p w14:paraId="2A1F77DB" w14:textId="77777777" w:rsidR="00874565" w:rsidRPr="0004018A" w:rsidRDefault="00874565" w:rsidP="00874565">
      <w:pPr>
        <w:spacing w:after="0" w:line="240" w:lineRule="auto"/>
        <w:ind w:left="0" w:firstLine="0"/>
        <w:rPr>
          <w:rFonts w:ascii="Calibri" w:hAnsi="Calibri" w:cs="Calibri"/>
        </w:rPr>
      </w:pPr>
    </w:p>
    <w:p w14:paraId="1445D3E5" w14:textId="77777777" w:rsidR="00874565" w:rsidRPr="0004018A" w:rsidRDefault="00874565" w:rsidP="00874565">
      <w:pPr>
        <w:spacing w:after="0" w:line="276" w:lineRule="auto"/>
        <w:ind w:left="0" w:firstLine="0"/>
        <w:rPr>
          <w:rFonts w:ascii="Calibri" w:hAnsi="Calibri" w:cs="Calibri"/>
        </w:rPr>
      </w:pPr>
    </w:p>
    <w:p w14:paraId="55DEA8AB" w14:textId="77777777" w:rsidR="00874565" w:rsidRPr="0004018A" w:rsidRDefault="00874565" w:rsidP="00874565">
      <w:pPr>
        <w:spacing w:line="276" w:lineRule="auto"/>
        <w:jc w:val="center"/>
        <w:rPr>
          <w:rFonts w:ascii="Calibri" w:hAnsi="Calibri" w:cs="Calibri"/>
        </w:rPr>
      </w:pPr>
      <w:r w:rsidRPr="0004018A">
        <w:rPr>
          <w:rFonts w:ascii="Calibri" w:hAnsi="Calibri" w:cs="Calibri"/>
          <w:noProof/>
          <w:lang w:eastAsia="en-AU"/>
        </w:rPr>
        <w:drawing>
          <wp:inline distT="0" distB="0" distL="0" distR="0" wp14:anchorId="7E376E46" wp14:editId="2F8E71D6">
            <wp:extent cx="4808169" cy="2177453"/>
            <wp:effectExtent l="0" t="0" r="5715" b="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3469" cy="2197968"/>
                    </a:xfrm>
                    <a:prstGeom prst="rect">
                      <a:avLst/>
                    </a:prstGeom>
                  </pic:spPr>
                </pic:pic>
              </a:graphicData>
            </a:graphic>
          </wp:inline>
        </w:drawing>
      </w:r>
    </w:p>
    <w:p w14:paraId="59F995F7" w14:textId="77777777" w:rsidR="00874565" w:rsidRPr="0004018A" w:rsidRDefault="00874565" w:rsidP="00874565">
      <w:pPr>
        <w:spacing w:after="0" w:line="240" w:lineRule="auto"/>
        <w:ind w:left="0" w:firstLine="0"/>
        <w:rPr>
          <w:rFonts w:ascii="Calibri" w:hAnsi="Calibri" w:cs="Calibri"/>
        </w:rPr>
      </w:pPr>
    </w:p>
    <w:p w14:paraId="56FB0982" w14:textId="77777777" w:rsidR="00874565" w:rsidRPr="0004018A" w:rsidRDefault="00874565" w:rsidP="00874565">
      <w:pPr>
        <w:spacing w:after="0" w:line="240" w:lineRule="auto"/>
        <w:ind w:left="0" w:firstLine="0"/>
        <w:rPr>
          <w:rFonts w:ascii="Calibri" w:hAnsi="Calibri" w:cs="Calibri"/>
        </w:rPr>
      </w:pPr>
    </w:p>
    <w:p w14:paraId="77A8A5D4" w14:textId="77777777" w:rsidR="00874565" w:rsidRPr="0004018A" w:rsidRDefault="00874565" w:rsidP="00874565">
      <w:pPr>
        <w:spacing w:after="0" w:line="240" w:lineRule="auto"/>
        <w:ind w:left="0" w:firstLine="0"/>
        <w:rPr>
          <w:rFonts w:ascii="Calibri" w:hAnsi="Calibri" w:cs="Calibri"/>
        </w:rPr>
      </w:pPr>
    </w:p>
    <w:p w14:paraId="1BEE9B8C" w14:textId="77777777" w:rsidR="00874565" w:rsidRPr="00A37B0F" w:rsidRDefault="00874565" w:rsidP="00874565">
      <w:pPr>
        <w:spacing w:line="276" w:lineRule="auto"/>
        <w:jc w:val="center"/>
        <w:rPr>
          <w:rFonts w:ascii="Calibri" w:hAnsi="Calibri" w:cs="Calibri"/>
          <w:b/>
          <w:bCs/>
          <w:color w:val="004479"/>
          <w:sz w:val="40"/>
          <w:szCs w:val="40"/>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bookmarkStart w:id="9" w:name="_Toc61349413"/>
      <w:bookmarkStart w:id="10" w:name="_Toc74498188"/>
      <w:r w:rsidRPr="0004018A">
        <w:rPr>
          <w:rFonts w:ascii="Calibri" w:hAnsi="Calibri" w:cs="Calibri"/>
          <w:b/>
          <w:bCs/>
          <w:color w:val="004479"/>
          <w:sz w:val="40"/>
          <w:szCs w:val="40"/>
        </w:rPr>
        <w:t xml:space="preserve">WOMEN WITH </w:t>
      </w:r>
      <w:r w:rsidRPr="00A37B0F">
        <w:rPr>
          <w:rFonts w:ascii="Calibri" w:hAnsi="Calibri" w:cs="Calibri"/>
          <w:b/>
          <w:bCs/>
          <w:color w:val="004479"/>
          <w:sz w:val="40"/>
          <w:szCs w:val="40"/>
        </w:rPr>
        <w:t>DISABILITIES AUSTRALIA (WWDA)</w:t>
      </w:r>
      <w:bookmarkEnd w:id="0"/>
      <w:bookmarkEnd w:id="1"/>
      <w:bookmarkEnd w:id="2"/>
      <w:bookmarkEnd w:id="3"/>
      <w:bookmarkEnd w:id="4"/>
      <w:bookmarkEnd w:id="5"/>
      <w:bookmarkEnd w:id="6"/>
      <w:bookmarkEnd w:id="7"/>
      <w:bookmarkEnd w:id="8"/>
      <w:bookmarkEnd w:id="9"/>
      <w:bookmarkEnd w:id="10"/>
    </w:p>
    <w:p w14:paraId="2BD20222" w14:textId="77777777" w:rsidR="00874565" w:rsidRPr="00A37B0F" w:rsidRDefault="00874565" w:rsidP="00874565">
      <w:pPr>
        <w:spacing w:after="0" w:line="276" w:lineRule="auto"/>
        <w:ind w:left="0" w:firstLine="0"/>
        <w:rPr>
          <w:rFonts w:ascii="Calibri" w:hAnsi="Calibri" w:cs="Calibri"/>
          <w:color w:val="17365D"/>
        </w:rPr>
      </w:pPr>
    </w:p>
    <w:p w14:paraId="32A895A3" w14:textId="77777777" w:rsidR="00874565" w:rsidRPr="00A37B0F" w:rsidRDefault="00874565" w:rsidP="00874565">
      <w:pPr>
        <w:spacing w:after="0" w:line="276" w:lineRule="auto"/>
        <w:ind w:left="0" w:firstLine="0"/>
        <w:rPr>
          <w:rFonts w:ascii="Calibri" w:hAnsi="Calibri" w:cs="Calibri"/>
          <w:color w:val="17365D"/>
        </w:rPr>
      </w:pPr>
      <w:bookmarkStart w:id="11" w:name="_Toc509920821"/>
    </w:p>
    <w:p w14:paraId="08816C67" w14:textId="77777777" w:rsidR="00874565" w:rsidRPr="00A37B0F" w:rsidRDefault="00874565" w:rsidP="00874565">
      <w:pPr>
        <w:spacing w:after="0" w:line="276" w:lineRule="auto"/>
        <w:ind w:left="0" w:firstLine="0"/>
        <w:rPr>
          <w:rFonts w:ascii="Calibri" w:hAnsi="Calibri" w:cs="Calibri"/>
          <w:color w:val="17365D"/>
        </w:rPr>
      </w:pPr>
    </w:p>
    <w:bookmarkEnd w:id="11"/>
    <w:p w14:paraId="68286B41" w14:textId="4E66DED7" w:rsidR="00874565" w:rsidRPr="0004018A" w:rsidRDefault="00874565" w:rsidP="00874565">
      <w:pPr>
        <w:spacing w:line="276" w:lineRule="auto"/>
        <w:jc w:val="center"/>
        <w:rPr>
          <w:rFonts w:ascii="Calibri" w:hAnsi="Calibri" w:cs="Calibri"/>
          <w:color w:val="004479"/>
          <w:lang w:val="en-GB"/>
        </w:rPr>
      </w:pPr>
      <w:r>
        <w:rPr>
          <w:rFonts w:ascii="Calibri" w:hAnsi="Calibri" w:cs="Calibri"/>
          <w:b/>
          <w:bCs/>
          <w:color w:val="AC1F79"/>
          <w:sz w:val="36"/>
          <w:szCs w:val="36"/>
          <w:lang w:val="en-US"/>
        </w:rPr>
        <w:t xml:space="preserve">Response to </w:t>
      </w:r>
      <w:r w:rsidRPr="00874565">
        <w:rPr>
          <w:rFonts w:ascii="Calibri" w:hAnsi="Calibri" w:cs="Calibri"/>
          <w:b/>
          <w:bCs/>
          <w:color w:val="AC1F79"/>
          <w:sz w:val="36"/>
          <w:szCs w:val="36"/>
        </w:rPr>
        <w:t>Australia’s draft sixth report under the International Covenant on Economic, Social and Cultural Rights (ICESCR)</w:t>
      </w:r>
    </w:p>
    <w:p w14:paraId="71A79386" w14:textId="77777777" w:rsidR="00874565" w:rsidRPr="0004018A" w:rsidRDefault="00874565" w:rsidP="00874565">
      <w:pPr>
        <w:spacing w:line="276" w:lineRule="auto"/>
        <w:jc w:val="center"/>
        <w:rPr>
          <w:rFonts w:ascii="Calibri" w:hAnsi="Calibri" w:cs="Calibri"/>
          <w:color w:val="004479"/>
          <w:lang w:val="en-GB"/>
        </w:rPr>
      </w:pPr>
    </w:p>
    <w:p w14:paraId="7C08AFAD" w14:textId="07C849ED" w:rsidR="00874565" w:rsidRPr="0004018A" w:rsidRDefault="00874565" w:rsidP="00874565">
      <w:pPr>
        <w:spacing w:line="276" w:lineRule="auto"/>
        <w:jc w:val="center"/>
        <w:rPr>
          <w:rFonts w:ascii="Calibri" w:hAnsi="Calibri" w:cs="Calibri"/>
          <w:b/>
          <w:bCs/>
          <w:lang w:val="en-GB"/>
        </w:rPr>
      </w:pPr>
      <w:r w:rsidRPr="00874565">
        <w:rPr>
          <w:rFonts w:ascii="Calibri" w:hAnsi="Calibri" w:cs="Calibri"/>
          <w:b/>
          <w:bCs/>
          <w:color w:val="004479"/>
          <w:sz w:val="36"/>
          <w:szCs w:val="36"/>
        </w:rPr>
        <w:t>Department of Foreign Affairs and Trade</w:t>
      </w:r>
    </w:p>
    <w:p w14:paraId="74487A47" w14:textId="77777777" w:rsidR="00874565" w:rsidRPr="0004018A" w:rsidRDefault="00874565" w:rsidP="00874565">
      <w:pPr>
        <w:spacing w:line="276" w:lineRule="auto"/>
        <w:jc w:val="center"/>
        <w:rPr>
          <w:rFonts w:ascii="Calibri" w:hAnsi="Calibri" w:cs="Calibri"/>
          <w:b/>
          <w:bCs/>
          <w:lang w:val="en-GB"/>
        </w:rPr>
      </w:pPr>
    </w:p>
    <w:p w14:paraId="1B87EE81" w14:textId="77777777" w:rsidR="00874565" w:rsidRPr="0004018A" w:rsidRDefault="00874565" w:rsidP="00874565">
      <w:pPr>
        <w:spacing w:after="0" w:line="240" w:lineRule="auto"/>
        <w:ind w:left="0" w:firstLine="0"/>
        <w:rPr>
          <w:rFonts w:ascii="Calibri" w:hAnsi="Calibri" w:cs="Calibri"/>
        </w:rPr>
      </w:pPr>
    </w:p>
    <w:p w14:paraId="48D59651" w14:textId="77777777" w:rsidR="00874565" w:rsidRPr="0004018A" w:rsidRDefault="00874565" w:rsidP="00874565">
      <w:pPr>
        <w:spacing w:after="0" w:line="240" w:lineRule="auto"/>
        <w:ind w:left="0" w:firstLine="0"/>
        <w:rPr>
          <w:rFonts w:ascii="Calibri" w:hAnsi="Calibri" w:cs="Calibri"/>
          <w:color w:val="17365D"/>
        </w:rPr>
      </w:pPr>
    </w:p>
    <w:p w14:paraId="44F477E5" w14:textId="77777777" w:rsidR="00874565" w:rsidRPr="0004018A" w:rsidRDefault="00874565" w:rsidP="00874565">
      <w:pPr>
        <w:spacing w:after="0" w:line="240" w:lineRule="auto"/>
        <w:ind w:left="0" w:firstLine="0"/>
        <w:jc w:val="center"/>
        <w:rPr>
          <w:rFonts w:ascii="Calibri" w:hAnsi="Calibri" w:cs="Calibri"/>
          <w:b/>
          <w:bCs/>
          <w:color w:val="17365D"/>
          <w:sz w:val="32"/>
        </w:rPr>
      </w:pPr>
      <w:r>
        <w:rPr>
          <w:rFonts w:ascii="Calibri" w:hAnsi="Calibri" w:cs="Calibri"/>
          <w:b/>
          <w:bCs/>
          <w:color w:val="17365D"/>
          <w:sz w:val="32"/>
        </w:rPr>
        <w:t>August 2023</w:t>
      </w:r>
    </w:p>
    <w:p w14:paraId="71A85731" w14:textId="77777777" w:rsidR="00874565" w:rsidRDefault="00874565" w:rsidP="00874565">
      <w:pPr>
        <w:spacing w:after="0" w:line="240" w:lineRule="auto"/>
        <w:ind w:left="0" w:firstLine="0"/>
        <w:rPr>
          <w:rFonts w:ascii="Calibri" w:hAnsi="Calibri" w:cs="Calibri"/>
        </w:rPr>
      </w:pPr>
    </w:p>
    <w:p w14:paraId="6225EC2F" w14:textId="77777777" w:rsidR="00874565" w:rsidRDefault="00874565" w:rsidP="00874565">
      <w:pPr>
        <w:spacing w:after="0" w:line="240" w:lineRule="auto"/>
        <w:ind w:left="0" w:firstLine="0"/>
        <w:rPr>
          <w:rFonts w:ascii="Calibri" w:hAnsi="Calibri" w:cs="Calibri"/>
        </w:rPr>
      </w:pPr>
      <w:r>
        <w:rPr>
          <w:rFonts w:ascii="Calibri" w:hAnsi="Calibri" w:cs="Calibri"/>
        </w:rPr>
        <w:br w:type="page"/>
      </w:r>
    </w:p>
    <w:p w14:paraId="63E2AACD" w14:textId="77777777" w:rsidR="00874565" w:rsidRPr="0004018A" w:rsidRDefault="00874565" w:rsidP="00874565">
      <w:pPr>
        <w:spacing w:after="0" w:line="240" w:lineRule="auto"/>
        <w:ind w:left="0" w:firstLine="0"/>
        <w:rPr>
          <w:rFonts w:ascii="Calibri" w:hAnsi="Calibri" w:cs="Calibri"/>
          <w:b/>
          <w:color w:val="004479"/>
          <w:sz w:val="32"/>
          <w:szCs w:val="32"/>
        </w:rPr>
      </w:pPr>
      <w:bookmarkStart w:id="12" w:name="_Toc508009579"/>
      <w:bookmarkStart w:id="13" w:name="_Toc508009707"/>
      <w:bookmarkStart w:id="14" w:name="_Toc508018426"/>
      <w:bookmarkStart w:id="15" w:name="_Toc509920823"/>
      <w:bookmarkStart w:id="16" w:name="_Toc510523710"/>
      <w:bookmarkStart w:id="17" w:name="_Toc512603440"/>
      <w:bookmarkStart w:id="18" w:name="_Toc512604446"/>
      <w:bookmarkStart w:id="19" w:name="_Toc32738099"/>
      <w:bookmarkStart w:id="20" w:name="_Toc61349415"/>
      <w:bookmarkStart w:id="21" w:name="_Toc74498190"/>
      <w:r w:rsidRPr="0004018A">
        <w:rPr>
          <w:rFonts w:ascii="Calibri" w:hAnsi="Calibri" w:cs="Calibri"/>
          <w:b/>
          <w:color w:val="004479"/>
          <w:sz w:val="32"/>
          <w:szCs w:val="32"/>
        </w:rPr>
        <w:lastRenderedPageBreak/>
        <w:t>PUBLISHING INFORMATION</w:t>
      </w:r>
      <w:bookmarkEnd w:id="12"/>
      <w:bookmarkEnd w:id="13"/>
      <w:bookmarkEnd w:id="14"/>
    </w:p>
    <w:bookmarkEnd w:id="15"/>
    <w:bookmarkEnd w:id="16"/>
    <w:bookmarkEnd w:id="17"/>
    <w:bookmarkEnd w:id="18"/>
    <w:bookmarkEnd w:id="19"/>
    <w:bookmarkEnd w:id="20"/>
    <w:bookmarkEnd w:id="21"/>
    <w:p w14:paraId="09BF719D" w14:textId="77777777" w:rsidR="00874565" w:rsidRPr="0004018A" w:rsidRDefault="00874565" w:rsidP="00874565">
      <w:pPr>
        <w:spacing w:after="0" w:line="240" w:lineRule="auto"/>
        <w:ind w:left="0" w:firstLine="0"/>
        <w:rPr>
          <w:rFonts w:ascii="Calibri" w:hAnsi="Calibri" w:cs="Calibri"/>
          <w:color w:val="CC0099"/>
        </w:rPr>
      </w:pPr>
    </w:p>
    <w:p w14:paraId="1076402C" w14:textId="4AF92CD3" w:rsidR="00874565" w:rsidRPr="00874565" w:rsidRDefault="00874565" w:rsidP="00874565">
      <w:pPr>
        <w:spacing w:after="0" w:line="240" w:lineRule="auto"/>
        <w:ind w:left="0" w:firstLine="0"/>
        <w:rPr>
          <w:rStyle w:val="BodyTypeEmphasisBlue"/>
          <w:rFonts w:ascii="Calibri" w:hAnsi="Calibri" w:cs="Calibri"/>
          <w:color w:val="auto"/>
          <w:sz w:val="20"/>
          <w:szCs w:val="20"/>
          <w:lang w:val="en-GB"/>
        </w:rPr>
      </w:pPr>
      <w:r w:rsidRPr="0004018A">
        <w:rPr>
          <w:rFonts w:ascii="Calibri" w:hAnsi="Calibri" w:cs="Calibri"/>
          <w:sz w:val="20"/>
          <w:szCs w:val="20"/>
        </w:rPr>
        <w:t xml:space="preserve">Women With Disabilities Australia (WWDA) (2023). </w:t>
      </w:r>
      <w:r w:rsidRPr="00874565">
        <w:rPr>
          <w:rFonts w:ascii="Calibri" w:hAnsi="Calibri" w:cs="Calibri"/>
          <w:i/>
          <w:iCs/>
          <w:sz w:val="20"/>
          <w:szCs w:val="20"/>
          <w:lang w:val="en-US"/>
        </w:rPr>
        <w:t xml:space="preserve">Response to </w:t>
      </w:r>
      <w:r w:rsidRPr="00874565">
        <w:rPr>
          <w:rFonts w:ascii="Calibri" w:hAnsi="Calibri" w:cs="Calibri"/>
          <w:i/>
          <w:iCs/>
          <w:sz w:val="20"/>
          <w:szCs w:val="20"/>
        </w:rPr>
        <w:t>Australia’s draft sixth report under the International Covenant on Economic, Social and Cultural Rights (ICESCR)</w:t>
      </w:r>
      <w:r w:rsidRPr="001974FF">
        <w:rPr>
          <w:rFonts w:ascii="Calibri" w:hAnsi="Calibri" w:cs="Calibri"/>
          <w:sz w:val="20"/>
          <w:szCs w:val="20"/>
        </w:rPr>
        <w:t xml:space="preserve">. </w:t>
      </w:r>
      <w:r>
        <w:rPr>
          <w:rFonts w:ascii="Calibri" w:hAnsi="Calibri" w:cs="Calibri"/>
          <w:sz w:val="20"/>
          <w:szCs w:val="20"/>
        </w:rPr>
        <w:t xml:space="preserve">August </w:t>
      </w:r>
      <w:r w:rsidRPr="0004018A">
        <w:rPr>
          <w:rFonts w:ascii="Calibri" w:hAnsi="Calibri" w:cs="Calibri"/>
          <w:sz w:val="20"/>
          <w:szCs w:val="20"/>
        </w:rPr>
        <w:t xml:space="preserve">2023. Written by Sophie Cusworth, Senior Policy Officer, Women </w:t>
      </w:r>
      <w:proofErr w:type="gramStart"/>
      <w:r w:rsidRPr="0004018A">
        <w:rPr>
          <w:rFonts w:ascii="Calibri" w:hAnsi="Calibri" w:cs="Calibri"/>
          <w:sz w:val="20"/>
          <w:szCs w:val="20"/>
        </w:rPr>
        <w:t>With</w:t>
      </w:r>
      <w:proofErr w:type="gramEnd"/>
      <w:r w:rsidRPr="0004018A">
        <w:rPr>
          <w:rFonts w:ascii="Calibri" w:hAnsi="Calibri" w:cs="Calibri"/>
          <w:sz w:val="20"/>
          <w:szCs w:val="20"/>
        </w:rPr>
        <w:t xml:space="preserve"> Disabilities Australia (WWDA): Hobart, Tasmania. </w:t>
      </w:r>
    </w:p>
    <w:p w14:paraId="23888AF0" w14:textId="77777777" w:rsidR="00874565" w:rsidRPr="0004018A" w:rsidRDefault="00874565" w:rsidP="00874565">
      <w:pPr>
        <w:spacing w:after="0" w:line="240" w:lineRule="auto"/>
        <w:ind w:left="0" w:firstLine="0"/>
        <w:rPr>
          <w:rFonts w:ascii="Calibri" w:hAnsi="Calibri" w:cs="Calibri"/>
          <w:sz w:val="20"/>
          <w:szCs w:val="20"/>
        </w:rPr>
      </w:pPr>
    </w:p>
    <w:p w14:paraId="4846E072" w14:textId="77777777" w:rsidR="00874565" w:rsidRPr="0004018A" w:rsidRDefault="00874565" w:rsidP="00874565">
      <w:pPr>
        <w:spacing w:after="0" w:line="240" w:lineRule="auto"/>
        <w:ind w:left="0" w:firstLine="0"/>
        <w:rPr>
          <w:rFonts w:ascii="Calibri" w:hAnsi="Calibri" w:cs="Calibri"/>
          <w:b/>
          <w:bCs/>
          <w:color w:val="AC1F79"/>
        </w:rPr>
      </w:pPr>
      <w:bookmarkStart w:id="22" w:name="_Toc61349418"/>
      <w:bookmarkStart w:id="23" w:name="_Toc74498191"/>
      <w:r w:rsidRPr="0004018A">
        <w:rPr>
          <w:rFonts w:ascii="Calibri" w:hAnsi="Calibri" w:cs="Calibri"/>
          <w:b/>
          <w:bCs/>
          <w:color w:val="AC1F79"/>
        </w:rPr>
        <w:t>Acknowledgments</w:t>
      </w:r>
    </w:p>
    <w:p w14:paraId="621D4549"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WWDA acknowledges the traditional owners of the land on which this publication was produced. We acknowledge First Nations people’s deep spiritual connection to this land. We extend our respects to community members and Elders past, present and emerging. </w:t>
      </w:r>
    </w:p>
    <w:p w14:paraId="17F7F37D" w14:textId="77777777" w:rsidR="00874565" w:rsidRPr="0004018A" w:rsidRDefault="00874565" w:rsidP="00874565">
      <w:pPr>
        <w:spacing w:after="0" w:line="240" w:lineRule="auto"/>
        <w:ind w:left="0" w:firstLine="0"/>
        <w:rPr>
          <w:rFonts w:ascii="Calibri" w:hAnsi="Calibri" w:cs="Calibri"/>
          <w:sz w:val="20"/>
          <w:szCs w:val="20"/>
        </w:rPr>
      </w:pPr>
    </w:p>
    <w:p w14:paraId="1E44C074"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This document was written by Sophie Cusworth, WWDA Senior Policy Officer</w:t>
      </w:r>
      <w:r>
        <w:rPr>
          <w:rFonts w:ascii="Calibri" w:hAnsi="Calibri" w:cs="Calibri"/>
          <w:sz w:val="20"/>
          <w:szCs w:val="20"/>
        </w:rPr>
        <w:t xml:space="preserve"> -Disability &amp; Gender.</w:t>
      </w:r>
      <w:r w:rsidRPr="0004018A">
        <w:rPr>
          <w:rFonts w:ascii="Calibri" w:hAnsi="Calibri" w:cs="Calibri"/>
          <w:sz w:val="20"/>
          <w:szCs w:val="20"/>
        </w:rPr>
        <w:t xml:space="preserve"> </w:t>
      </w:r>
    </w:p>
    <w:p w14:paraId="4E97E4E7" w14:textId="77777777" w:rsidR="00874565" w:rsidRPr="0004018A" w:rsidRDefault="00874565" w:rsidP="00874565">
      <w:pPr>
        <w:spacing w:after="0" w:line="240" w:lineRule="auto"/>
        <w:ind w:left="0" w:firstLine="0"/>
        <w:rPr>
          <w:rFonts w:ascii="Calibri" w:hAnsi="Calibri" w:cs="Calibri"/>
          <w:sz w:val="20"/>
          <w:szCs w:val="20"/>
        </w:rPr>
      </w:pPr>
    </w:p>
    <w:p w14:paraId="343545B0"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Formatting, editing and design by Carolyn </w:t>
      </w:r>
      <w:proofErr w:type="spellStart"/>
      <w:r w:rsidRPr="0004018A">
        <w:rPr>
          <w:rFonts w:ascii="Calibri" w:hAnsi="Calibri" w:cs="Calibri"/>
          <w:sz w:val="20"/>
          <w:szCs w:val="20"/>
        </w:rPr>
        <w:t>Frohmader</w:t>
      </w:r>
      <w:proofErr w:type="spellEnd"/>
      <w:r w:rsidRPr="0004018A">
        <w:rPr>
          <w:rFonts w:ascii="Calibri" w:hAnsi="Calibri" w:cs="Calibri"/>
          <w:sz w:val="20"/>
          <w:szCs w:val="20"/>
        </w:rPr>
        <w:t xml:space="preserve"> (WWDA) and Jacinta Carlton (WWDA).</w:t>
      </w:r>
    </w:p>
    <w:p w14:paraId="7ABF4D9F" w14:textId="77777777" w:rsidR="00874565" w:rsidRPr="0004018A" w:rsidRDefault="00874565" w:rsidP="00874565">
      <w:pPr>
        <w:spacing w:after="0" w:line="240" w:lineRule="auto"/>
        <w:ind w:left="0" w:firstLine="0"/>
        <w:rPr>
          <w:rFonts w:ascii="Calibri" w:hAnsi="Calibri" w:cs="Calibri"/>
          <w:sz w:val="20"/>
          <w:szCs w:val="20"/>
        </w:rPr>
      </w:pPr>
    </w:p>
    <w:p w14:paraId="1811C10E"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Women With Disabilities Australia (WWDA) receives part of its funding from the Australian Government, Department of Social Services (DSS). </w:t>
      </w:r>
    </w:p>
    <w:p w14:paraId="7C27E5F6" w14:textId="77777777" w:rsidR="00874565" w:rsidRPr="0004018A" w:rsidRDefault="00874565" w:rsidP="00874565">
      <w:pPr>
        <w:spacing w:after="0" w:line="240" w:lineRule="auto"/>
        <w:ind w:left="0" w:firstLine="0"/>
        <w:rPr>
          <w:rFonts w:ascii="Calibri" w:hAnsi="Calibri" w:cs="Calibri"/>
          <w:sz w:val="20"/>
          <w:szCs w:val="20"/>
        </w:rPr>
      </w:pPr>
    </w:p>
    <w:p w14:paraId="21AE1132" w14:textId="77777777" w:rsidR="00874565" w:rsidRPr="0004018A" w:rsidRDefault="00874565" w:rsidP="00874565">
      <w:pPr>
        <w:spacing w:after="0" w:line="240" w:lineRule="auto"/>
        <w:ind w:left="0" w:firstLine="0"/>
        <w:rPr>
          <w:rFonts w:ascii="Calibri" w:hAnsi="Calibri" w:cs="Calibri"/>
          <w:b/>
          <w:bCs/>
          <w:color w:val="AC1F79"/>
        </w:rPr>
      </w:pPr>
      <w:bookmarkStart w:id="24" w:name="_Toc61349417"/>
      <w:r w:rsidRPr="0004018A">
        <w:rPr>
          <w:rFonts w:ascii="Calibri" w:hAnsi="Calibri" w:cs="Calibri"/>
          <w:b/>
          <w:bCs/>
          <w:color w:val="AC1F79"/>
        </w:rPr>
        <w:t>Contact</w:t>
      </w:r>
      <w:bookmarkEnd w:id="24"/>
      <w:r w:rsidRPr="0004018A">
        <w:rPr>
          <w:rFonts w:ascii="Calibri" w:hAnsi="Calibri" w:cs="Calibri"/>
          <w:b/>
          <w:bCs/>
          <w:color w:val="AC1F79"/>
        </w:rPr>
        <w:t xml:space="preserve"> </w:t>
      </w:r>
    </w:p>
    <w:p w14:paraId="2DD66456"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Women With Disabilities Australia (WWDA)</w:t>
      </w:r>
    </w:p>
    <w:p w14:paraId="14D4016D"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Contact: Carolyn </w:t>
      </w:r>
      <w:proofErr w:type="spellStart"/>
      <w:r w:rsidRPr="0004018A">
        <w:rPr>
          <w:rFonts w:ascii="Calibri" w:hAnsi="Calibri" w:cs="Calibri"/>
          <w:sz w:val="20"/>
          <w:szCs w:val="20"/>
        </w:rPr>
        <w:t>Frohmader</w:t>
      </w:r>
      <w:proofErr w:type="spellEnd"/>
      <w:r w:rsidRPr="0004018A">
        <w:rPr>
          <w:rFonts w:ascii="Calibri" w:hAnsi="Calibri" w:cs="Calibri"/>
          <w:sz w:val="20"/>
          <w:szCs w:val="20"/>
        </w:rPr>
        <w:t>, Executive Director</w:t>
      </w:r>
    </w:p>
    <w:p w14:paraId="24475F55"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PO Box 407, Lenah Valley, 7008 Tasmania, Australia</w:t>
      </w:r>
    </w:p>
    <w:p w14:paraId="61210436"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Phone: +61 438 535 535</w:t>
      </w:r>
    </w:p>
    <w:p w14:paraId="4AAB7EA2"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Email: </w:t>
      </w:r>
      <w:hyperlink r:id="rId9" w:history="1">
        <w:r w:rsidRPr="0004018A">
          <w:rPr>
            <w:rStyle w:val="Hyperlink"/>
            <w:rFonts w:ascii="Calibri" w:hAnsi="Calibri" w:cs="Calibri"/>
            <w:sz w:val="20"/>
            <w:szCs w:val="20"/>
          </w:rPr>
          <w:t>carolyn@wwda.org.au</w:t>
        </w:r>
      </w:hyperlink>
      <w:r w:rsidRPr="0004018A">
        <w:rPr>
          <w:rFonts w:ascii="Calibri" w:hAnsi="Calibri" w:cs="Calibri"/>
          <w:sz w:val="20"/>
          <w:szCs w:val="20"/>
        </w:rPr>
        <w:t xml:space="preserve"> </w:t>
      </w:r>
    </w:p>
    <w:p w14:paraId="3025DFB9"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Email: </w:t>
      </w:r>
      <w:hyperlink r:id="rId10" w:history="1">
        <w:r w:rsidRPr="0004018A">
          <w:rPr>
            <w:rStyle w:val="Hyperlink"/>
            <w:rFonts w:ascii="Calibri" w:hAnsi="Calibri" w:cs="Calibri"/>
            <w:sz w:val="20"/>
            <w:szCs w:val="20"/>
          </w:rPr>
          <w:t>officeadmin@wwda.org.au</w:t>
        </w:r>
      </w:hyperlink>
      <w:r w:rsidRPr="0004018A">
        <w:rPr>
          <w:rFonts w:ascii="Calibri" w:hAnsi="Calibri" w:cs="Calibri"/>
          <w:sz w:val="20"/>
          <w:szCs w:val="20"/>
        </w:rPr>
        <w:t xml:space="preserve"> </w:t>
      </w:r>
    </w:p>
    <w:p w14:paraId="38049200" w14:textId="77777777" w:rsidR="00874565" w:rsidRPr="0004018A" w:rsidRDefault="00874565" w:rsidP="00874565">
      <w:pPr>
        <w:spacing w:after="0" w:line="240" w:lineRule="auto"/>
        <w:ind w:left="0" w:firstLine="0"/>
        <w:rPr>
          <w:rFonts w:ascii="Calibri" w:hAnsi="Calibri" w:cs="Calibri"/>
          <w:sz w:val="20"/>
          <w:szCs w:val="20"/>
          <w:u w:val="single"/>
        </w:rPr>
      </w:pPr>
      <w:r w:rsidRPr="0004018A">
        <w:rPr>
          <w:rFonts w:ascii="Calibri" w:hAnsi="Calibri" w:cs="Calibri"/>
          <w:sz w:val="20"/>
          <w:szCs w:val="20"/>
        </w:rPr>
        <w:t xml:space="preserve">Web: </w:t>
      </w:r>
      <w:hyperlink r:id="rId11" w:history="1">
        <w:r w:rsidRPr="0004018A">
          <w:rPr>
            <w:rStyle w:val="Hyperlink"/>
            <w:rFonts w:ascii="Calibri" w:hAnsi="Calibri" w:cs="Calibri"/>
            <w:sz w:val="20"/>
            <w:szCs w:val="20"/>
          </w:rPr>
          <w:t>www.wwda.org.au</w:t>
        </w:r>
      </w:hyperlink>
    </w:p>
    <w:p w14:paraId="2261E304"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Facebook: </w:t>
      </w:r>
      <w:hyperlink r:id="rId12" w:history="1">
        <w:r w:rsidRPr="0004018A">
          <w:rPr>
            <w:rStyle w:val="Hyperlink"/>
            <w:rFonts w:ascii="Calibri" w:hAnsi="Calibri" w:cs="Calibri"/>
            <w:sz w:val="20"/>
            <w:szCs w:val="20"/>
          </w:rPr>
          <w:t>www.facebook.com/WWDA.Australia</w:t>
        </w:r>
      </w:hyperlink>
    </w:p>
    <w:p w14:paraId="204EE234" w14:textId="77777777" w:rsidR="00874565" w:rsidRPr="0004018A" w:rsidRDefault="00874565" w:rsidP="00874565">
      <w:pPr>
        <w:spacing w:after="0" w:line="240" w:lineRule="auto"/>
        <w:ind w:left="0" w:firstLine="0"/>
        <w:rPr>
          <w:rFonts w:ascii="Calibri" w:hAnsi="Calibri" w:cs="Calibri"/>
          <w:sz w:val="20"/>
          <w:szCs w:val="20"/>
        </w:rPr>
      </w:pPr>
      <w:r w:rsidRPr="0004018A">
        <w:rPr>
          <w:rFonts w:ascii="Calibri" w:hAnsi="Calibri" w:cs="Calibri"/>
          <w:sz w:val="20"/>
          <w:szCs w:val="20"/>
        </w:rPr>
        <w:t xml:space="preserve">Twitter: </w:t>
      </w:r>
      <w:hyperlink r:id="rId13" w:history="1">
        <w:r w:rsidRPr="0004018A">
          <w:rPr>
            <w:rStyle w:val="Hyperlink"/>
            <w:rFonts w:ascii="Calibri" w:hAnsi="Calibri" w:cs="Calibri"/>
            <w:sz w:val="20"/>
            <w:szCs w:val="20"/>
          </w:rPr>
          <w:t>www.twitter.com/WWDA_AU</w:t>
        </w:r>
      </w:hyperlink>
    </w:p>
    <w:p w14:paraId="0D489EE3" w14:textId="77777777" w:rsidR="00874565" w:rsidRPr="0004018A" w:rsidRDefault="00874565" w:rsidP="00874565">
      <w:pPr>
        <w:spacing w:after="0" w:line="240" w:lineRule="auto"/>
        <w:ind w:left="0" w:firstLine="0"/>
        <w:rPr>
          <w:rFonts w:ascii="Calibri" w:hAnsi="Calibri" w:cs="Calibri"/>
          <w:sz w:val="20"/>
          <w:szCs w:val="20"/>
        </w:rPr>
      </w:pPr>
    </w:p>
    <w:p w14:paraId="36043492"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Winner, National Human Rights Award 2001</w:t>
      </w:r>
    </w:p>
    <w:p w14:paraId="5A61912A"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Winner, National Violence Prevention Award 1999</w:t>
      </w:r>
    </w:p>
    <w:p w14:paraId="6C0AE713"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Winner, Tasmanian Women's Safety Award 2008</w:t>
      </w:r>
    </w:p>
    <w:p w14:paraId="794FB68A"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Certificate of Merit, Australian Crime &amp; Violence Prevention Awards 2008</w:t>
      </w:r>
    </w:p>
    <w:p w14:paraId="021AC90B"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Nominee, UNESCO Prize for Digital Empowerment of Persons with Disabilities 2021</w:t>
      </w:r>
    </w:p>
    <w:p w14:paraId="589F56AE"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Nominee, National Disability Awards 2017</w:t>
      </w:r>
    </w:p>
    <w:p w14:paraId="73CD2714"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Nominee, French Republic's Human Rights Prize 2003</w:t>
      </w:r>
    </w:p>
    <w:p w14:paraId="20612141"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Nominee, UN Millennium Peace Prize for Women 2000</w:t>
      </w:r>
    </w:p>
    <w:p w14:paraId="49457F2C"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Finalist, International Zero23 Award, Information and Communication Technologies (ICT)</w:t>
      </w:r>
    </w:p>
    <w:p w14:paraId="0A2C9C8B" w14:textId="77777777" w:rsidR="00874565" w:rsidRPr="0004018A" w:rsidRDefault="00874565" w:rsidP="00874565">
      <w:pPr>
        <w:spacing w:after="0" w:line="240" w:lineRule="auto"/>
        <w:ind w:left="0" w:firstLine="0"/>
        <w:rPr>
          <w:rFonts w:ascii="Calibri" w:hAnsi="Calibri" w:cs="Calibri"/>
          <w:sz w:val="20"/>
          <w:szCs w:val="20"/>
        </w:rPr>
      </w:pPr>
    </w:p>
    <w:p w14:paraId="6C7E4700" w14:textId="77777777" w:rsidR="00874565" w:rsidRPr="0004018A" w:rsidRDefault="00874565" w:rsidP="00874565">
      <w:pPr>
        <w:spacing w:after="0" w:line="240" w:lineRule="auto"/>
        <w:ind w:left="0" w:firstLine="0"/>
        <w:rPr>
          <w:rFonts w:ascii="Calibri" w:hAnsi="Calibri" w:cs="Calibri"/>
          <w:b/>
          <w:bCs/>
          <w:sz w:val="20"/>
          <w:szCs w:val="20"/>
        </w:rPr>
      </w:pPr>
      <w:r w:rsidRPr="0004018A">
        <w:rPr>
          <w:rFonts w:ascii="Calibri" w:hAnsi="Calibri" w:cs="Calibri"/>
          <w:b/>
          <w:bCs/>
          <w:sz w:val="20"/>
          <w:szCs w:val="20"/>
        </w:rPr>
        <w:t>Women With Disabilities Australia (WWDA) has Special Consultative Status with the Economic and Social Council of the United Nations.</w:t>
      </w:r>
    </w:p>
    <w:p w14:paraId="4376C848" w14:textId="77777777" w:rsidR="00874565" w:rsidRPr="0004018A" w:rsidRDefault="00874565" w:rsidP="00874565">
      <w:pPr>
        <w:spacing w:after="0" w:line="240" w:lineRule="auto"/>
        <w:ind w:left="0" w:firstLine="0"/>
        <w:rPr>
          <w:rFonts w:ascii="Calibri" w:hAnsi="Calibri" w:cs="Calibri"/>
          <w:sz w:val="20"/>
          <w:szCs w:val="20"/>
        </w:rPr>
      </w:pPr>
    </w:p>
    <w:p w14:paraId="3EEE409B" w14:textId="77777777" w:rsidR="00874565" w:rsidRPr="0004018A" w:rsidRDefault="00874565" w:rsidP="00874565">
      <w:pPr>
        <w:spacing w:after="0" w:line="240" w:lineRule="auto"/>
        <w:ind w:left="0" w:firstLine="0"/>
        <w:rPr>
          <w:rFonts w:ascii="Calibri" w:hAnsi="Calibri" w:cs="Calibri"/>
          <w:b/>
          <w:bCs/>
          <w:color w:val="AC1F79"/>
        </w:rPr>
      </w:pPr>
      <w:r w:rsidRPr="0004018A">
        <w:rPr>
          <w:rFonts w:ascii="Calibri" w:hAnsi="Calibri" w:cs="Calibri"/>
          <w:b/>
          <w:bCs/>
          <w:color w:val="AC1F79"/>
        </w:rPr>
        <w:t>Disclaimer</w:t>
      </w:r>
    </w:p>
    <w:p w14:paraId="55315AF7"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 xml:space="preserve">The views and opinions expressed in this publication are those of Women </w:t>
      </w:r>
      <w:proofErr w:type="gramStart"/>
      <w:r w:rsidRPr="0004018A">
        <w:rPr>
          <w:rFonts w:ascii="Calibri" w:hAnsi="Calibri" w:cs="Calibri"/>
          <w:sz w:val="18"/>
          <w:szCs w:val="18"/>
        </w:rPr>
        <w:t>With</w:t>
      </w:r>
      <w:proofErr w:type="gramEnd"/>
      <w:r w:rsidRPr="0004018A">
        <w:rPr>
          <w:rFonts w:ascii="Calibri" w:hAnsi="Calibri" w:cs="Calibri"/>
          <w:sz w:val="18"/>
          <w:szCs w:val="18"/>
        </w:rPr>
        <w:t xml:space="preserve">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 This work is copyright. Apart from any use as permitted under the Copyright Act 1968, no part may be reproduced without written permission from Women </w:t>
      </w:r>
      <w:proofErr w:type="gramStart"/>
      <w:r w:rsidRPr="0004018A">
        <w:rPr>
          <w:rFonts w:ascii="Calibri" w:hAnsi="Calibri" w:cs="Calibri"/>
          <w:sz w:val="18"/>
          <w:szCs w:val="18"/>
        </w:rPr>
        <w:t>With</w:t>
      </w:r>
      <w:proofErr w:type="gramEnd"/>
      <w:r w:rsidRPr="0004018A">
        <w:rPr>
          <w:rFonts w:ascii="Calibri" w:hAnsi="Calibri" w:cs="Calibri"/>
          <w:sz w:val="18"/>
          <w:szCs w:val="18"/>
        </w:rPr>
        <w:t xml:space="preserve"> Disabilities Australia (WWDA). © 2023 Women </w:t>
      </w:r>
      <w:proofErr w:type="gramStart"/>
      <w:r w:rsidRPr="0004018A">
        <w:rPr>
          <w:rFonts w:ascii="Calibri" w:hAnsi="Calibri" w:cs="Calibri"/>
          <w:sz w:val="18"/>
          <w:szCs w:val="18"/>
        </w:rPr>
        <w:t>With</w:t>
      </w:r>
      <w:proofErr w:type="gramEnd"/>
      <w:r w:rsidRPr="0004018A">
        <w:rPr>
          <w:rFonts w:ascii="Calibri" w:hAnsi="Calibri" w:cs="Calibri"/>
          <w:sz w:val="18"/>
          <w:szCs w:val="18"/>
        </w:rPr>
        <w:t xml:space="preserve"> Disabilities Australia (WWDA). </w:t>
      </w:r>
    </w:p>
    <w:p w14:paraId="617B9BB5" w14:textId="77777777" w:rsidR="00874565" w:rsidRPr="0004018A" w:rsidRDefault="00874565" w:rsidP="00874565">
      <w:pPr>
        <w:spacing w:after="0" w:line="240" w:lineRule="auto"/>
        <w:ind w:left="0" w:firstLine="0"/>
        <w:rPr>
          <w:rFonts w:ascii="Calibri" w:hAnsi="Calibri" w:cs="Calibri"/>
          <w:sz w:val="18"/>
          <w:szCs w:val="18"/>
        </w:rPr>
      </w:pPr>
    </w:p>
    <w:p w14:paraId="5E1150C2" w14:textId="77777777" w:rsidR="00874565" w:rsidRPr="0004018A" w:rsidRDefault="00874565" w:rsidP="00874565">
      <w:pPr>
        <w:spacing w:after="0" w:line="240" w:lineRule="auto"/>
        <w:ind w:left="0" w:firstLine="0"/>
        <w:rPr>
          <w:rFonts w:ascii="Calibri" w:hAnsi="Calibri" w:cs="Calibri"/>
          <w:sz w:val="18"/>
          <w:szCs w:val="18"/>
        </w:rPr>
      </w:pPr>
      <w:r w:rsidRPr="0004018A">
        <w:rPr>
          <w:rFonts w:ascii="Calibri" w:hAnsi="Calibri" w:cs="Calibri"/>
          <w:sz w:val="18"/>
          <w:szCs w:val="18"/>
        </w:rPr>
        <w:t>ABN: 23 627 650 121</w:t>
      </w:r>
    </w:p>
    <w:bookmarkEnd w:id="22"/>
    <w:bookmarkEnd w:id="23"/>
    <w:p w14:paraId="595412CB" w14:textId="77777777" w:rsidR="00874565" w:rsidRPr="0004018A" w:rsidRDefault="00874565" w:rsidP="00874565">
      <w:pPr>
        <w:spacing w:after="0" w:line="240" w:lineRule="auto"/>
        <w:ind w:left="0" w:firstLine="0"/>
        <w:jc w:val="both"/>
        <w:rPr>
          <w:rFonts w:ascii="Calibri" w:hAnsi="Calibri" w:cs="Calibri"/>
          <w:sz w:val="18"/>
          <w:szCs w:val="18"/>
        </w:rPr>
      </w:pPr>
      <w:r w:rsidRPr="0004018A">
        <w:rPr>
          <w:rFonts w:ascii="Calibri" w:hAnsi="Calibri" w:cs="Calibri"/>
          <w:sz w:val="18"/>
          <w:szCs w:val="18"/>
        </w:rPr>
        <w:t>ARBN: 621 534 307</w:t>
      </w:r>
    </w:p>
    <w:p w14:paraId="0961DA4E" w14:textId="77777777" w:rsidR="00874565" w:rsidRPr="0004018A" w:rsidRDefault="00874565" w:rsidP="00874565">
      <w:pPr>
        <w:spacing w:after="0" w:line="240" w:lineRule="auto"/>
        <w:ind w:left="0" w:firstLine="0"/>
        <w:rPr>
          <w:rFonts w:ascii="Calibri" w:hAnsi="Calibri" w:cs="Calibri"/>
        </w:rPr>
      </w:pPr>
    </w:p>
    <w:p w14:paraId="0A008CAD" w14:textId="77777777" w:rsidR="00874565" w:rsidRDefault="00874565" w:rsidP="00874565">
      <w:pPr>
        <w:spacing w:after="0" w:line="240" w:lineRule="auto"/>
        <w:ind w:left="0" w:firstLine="0"/>
        <w:rPr>
          <w:rFonts w:ascii="Calibri" w:hAnsi="Calibri" w:cs="Calibri"/>
        </w:rPr>
      </w:pPr>
      <w:r>
        <w:rPr>
          <w:rFonts w:ascii="Calibri" w:hAnsi="Calibri" w:cs="Calibri"/>
        </w:rPr>
        <w:br w:type="page"/>
      </w:r>
    </w:p>
    <w:p w14:paraId="52216E03" w14:textId="77777777" w:rsidR="00874565" w:rsidRPr="0004018A" w:rsidRDefault="00874565" w:rsidP="00874565">
      <w:pPr>
        <w:spacing w:after="0" w:line="240" w:lineRule="auto"/>
        <w:ind w:left="0" w:firstLine="0"/>
        <w:rPr>
          <w:rFonts w:ascii="Calibri" w:hAnsi="Calibri" w:cs="Calibri"/>
        </w:rPr>
      </w:pPr>
    </w:p>
    <w:p w14:paraId="67864686" w14:textId="77777777" w:rsidR="00874565" w:rsidRPr="0004018A" w:rsidRDefault="00874565" w:rsidP="00874565">
      <w:pPr>
        <w:spacing w:after="0" w:line="240" w:lineRule="auto"/>
        <w:ind w:left="0" w:firstLine="0"/>
        <w:rPr>
          <w:rFonts w:ascii="Calibri" w:hAnsi="Calibri" w:cs="Calibri"/>
          <w:b/>
          <w:bCs/>
          <w:color w:val="004479"/>
          <w:sz w:val="32"/>
          <w:szCs w:val="32"/>
        </w:rPr>
      </w:pPr>
      <w:r w:rsidRPr="0004018A">
        <w:rPr>
          <w:rFonts w:ascii="Calibri" w:hAnsi="Calibri" w:cs="Calibri"/>
          <w:b/>
          <w:bCs/>
          <w:color w:val="004479"/>
          <w:sz w:val="32"/>
          <w:szCs w:val="32"/>
        </w:rPr>
        <w:t>ABOUT WOMEN WITH DISABILITIES AUSTRALIA (WWDA)</w:t>
      </w:r>
    </w:p>
    <w:p w14:paraId="254C6FED" w14:textId="77777777" w:rsidR="00874565" w:rsidRPr="0004018A" w:rsidRDefault="00874565" w:rsidP="00874565">
      <w:pPr>
        <w:spacing w:after="0" w:line="276" w:lineRule="auto"/>
        <w:ind w:left="0" w:firstLine="0"/>
        <w:rPr>
          <w:rFonts w:ascii="Calibri" w:hAnsi="Calibri" w:cs="Calibri"/>
        </w:rPr>
      </w:pPr>
    </w:p>
    <w:p w14:paraId="006EAA7F" w14:textId="77777777" w:rsidR="00874565" w:rsidRPr="0004018A" w:rsidRDefault="00874565" w:rsidP="00874565">
      <w:pPr>
        <w:spacing w:after="0" w:line="276" w:lineRule="auto"/>
        <w:ind w:left="0" w:firstLine="0"/>
        <w:rPr>
          <w:rFonts w:ascii="Calibri" w:hAnsi="Calibri" w:cs="Calibri"/>
        </w:rPr>
      </w:pPr>
      <w:hyperlink r:id="rId14" w:history="1">
        <w:r w:rsidRPr="0004018A">
          <w:rPr>
            <w:rStyle w:val="Hyperlink"/>
            <w:rFonts w:ascii="Calibri" w:hAnsi="Calibri" w:cs="Calibri"/>
          </w:rPr>
          <w:t>Women With Disabilities Australia (WWDA)</w:t>
        </w:r>
      </w:hyperlink>
      <w:r w:rsidRPr="0004018A">
        <w:rPr>
          <w:rFonts w:ascii="Calibri" w:hAnsi="Calibri" w:cs="Calibri"/>
        </w:rPr>
        <w:t xml:space="preserve"> Inc is the national Disabled People’s Organisation (DPO) and National Women’s Alliance (NWA) for women, girls, feminine identifying, and non-binary people with disability in Australia. As a DPO and an NWA, WWDA is governed, run, and staffed by and for women, girls, feminine </w:t>
      </w:r>
      <w:proofErr w:type="gramStart"/>
      <w:r w:rsidRPr="0004018A">
        <w:rPr>
          <w:rFonts w:ascii="Calibri" w:hAnsi="Calibri" w:cs="Calibri"/>
        </w:rPr>
        <w:t>identifying</w:t>
      </w:r>
      <w:proofErr w:type="gramEnd"/>
      <w:r w:rsidRPr="0004018A">
        <w:rPr>
          <w:rFonts w:ascii="Calibri" w:hAnsi="Calibri" w:cs="Calibri"/>
        </w:rPr>
        <w:t xml:space="preserve"> and non-binary people with disability. </w:t>
      </w:r>
    </w:p>
    <w:p w14:paraId="308F83FC" w14:textId="77777777" w:rsidR="00874565" w:rsidRPr="0004018A" w:rsidRDefault="00874565" w:rsidP="00874565">
      <w:pPr>
        <w:spacing w:after="0" w:line="276" w:lineRule="auto"/>
        <w:ind w:left="0" w:firstLine="0"/>
        <w:rPr>
          <w:rFonts w:ascii="Calibri" w:hAnsi="Calibri" w:cs="Calibri"/>
        </w:rPr>
      </w:pPr>
    </w:p>
    <w:p w14:paraId="0CC716B8" w14:textId="77777777" w:rsidR="00874565" w:rsidRPr="0004018A" w:rsidRDefault="00874565" w:rsidP="00874565">
      <w:pPr>
        <w:spacing w:after="0" w:line="276" w:lineRule="auto"/>
        <w:ind w:left="0" w:firstLine="0"/>
        <w:rPr>
          <w:rFonts w:ascii="Calibri" w:hAnsi="Calibri" w:cs="Calibri"/>
          <w:b/>
          <w:bCs/>
        </w:rPr>
      </w:pPr>
      <w:r w:rsidRPr="0004018A">
        <w:rPr>
          <w:rFonts w:ascii="Calibri" w:hAnsi="Calibri" w:cs="Calibri"/>
          <w:b/>
          <w:bCs/>
        </w:rPr>
        <w:t>WWDA uses the term ‘women and girls with disability’, on the understanding that this term is inclusive and supportive of, women and girls with disability along with feminine identifying and non-binary people with disability in Australia.</w:t>
      </w:r>
    </w:p>
    <w:p w14:paraId="4CBF4A5A" w14:textId="77777777" w:rsidR="00874565" w:rsidRPr="0004018A" w:rsidRDefault="00874565" w:rsidP="00874565">
      <w:pPr>
        <w:spacing w:after="0" w:line="276" w:lineRule="auto"/>
        <w:ind w:left="0" w:firstLine="0"/>
        <w:rPr>
          <w:rFonts w:ascii="Calibri" w:hAnsi="Calibri" w:cs="Calibri"/>
        </w:rPr>
      </w:pPr>
    </w:p>
    <w:p w14:paraId="6194350C" w14:textId="77777777" w:rsidR="00874565" w:rsidRPr="0004018A" w:rsidRDefault="00874565" w:rsidP="00874565">
      <w:pPr>
        <w:spacing w:after="0" w:line="276" w:lineRule="auto"/>
        <w:ind w:left="0" w:firstLine="0"/>
        <w:rPr>
          <w:rFonts w:ascii="Calibri" w:hAnsi="Calibri" w:cs="Calibri"/>
        </w:rPr>
      </w:pPr>
      <w:r w:rsidRPr="0004018A">
        <w:rPr>
          <w:rFonts w:ascii="Calibri" w:hAnsi="Calibri" w:cs="Calibri"/>
        </w:rPr>
        <w:t>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All WWDA’s work is based on co-design with and participation of our members. WWDA projects are all designed, governed, and implemented by women and girls with disability.</w:t>
      </w:r>
    </w:p>
    <w:p w14:paraId="0DC4077F" w14:textId="77777777" w:rsidR="00874565" w:rsidRPr="0004018A" w:rsidRDefault="00874565" w:rsidP="00874565">
      <w:pPr>
        <w:spacing w:after="0" w:line="276" w:lineRule="auto"/>
        <w:ind w:left="0" w:firstLine="0"/>
        <w:rPr>
          <w:rFonts w:ascii="Calibri" w:hAnsi="Calibri" w:cs="Calibri"/>
        </w:rPr>
      </w:pPr>
    </w:p>
    <w:p w14:paraId="34604976" w14:textId="77777777" w:rsidR="00874565" w:rsidRPr="0004018A" w:rsidRDefault="00874565" w:rsidP="00874565">
      <w:pPr>
        <w:spacing w:after="0" w:line="276" w:lineRule="auto"/>
        <w:ind w:left="0" w:firstLine="0"/>
        <w:rPr>
          <w:rFonts w:ascii="Calibri" w:hAnsi="Calibri" w:cs="Calibri"/>
        </w:rPr>
      </w:pPr>
      <w:r w:rsidRPr="0004018A">
        <w:rPr>
          <w:rFonts w:ascii="Calibri" w:hAnsi="Calibri" w:cs="Calibri"/>
        </w:rPr>
        <w:t>Disabled People’s Organisations (DPOs), also referred to as Organisations of Persons with Disabilities (OPDs) are recognised around the world, and in international human rights law, as self-determining organisations led by, controlled by, and constituted of, people with disability. DPOs/OPDs are organisations of people with disability, as opposed to organisations which may represent people with disability. The United Nations Committee on the Rights of Persons with Disabilities has clarified that States should give priority to the views of DPOs/OPDs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04018A">
        <w:rPr>
          <w:rStyle w:val="EndnoteReference"/>
          <w:rFonts w:ascii="Calibri" w:hAnsi="Calibri" w:cs="Calibri"/>
        </w:rPr>
        <w:endnoteReference w:id="1"/>
      </w:r>
    </w:p>
    <w:p w14:paraId="6CEF01CA" w14:textId="77777777" w:rsidR="00874565" w:rsidRPr="0004018A" w:rsidRDefault="00874565" w:rsidP="00874565">
      <w:pPr>
        <w:spacing w:after="0" w:line="276" w:lineRule="auto"/>
        <w:ind w:left="0" w:firstLine="0"/>
        <w:jc w:val="both"/>
        <w:rPr>
          <w:rFonts w:ascii="Calibri" w:hAnsi="Calibri" w:cs="Calibri"/>
        </w:rPr>
      </w:pPr>
    </w:p>
    <w:p w14:paraId="28249EFE" w14:textId="77777777" w:rsidR="00874565" w:rsidRDefault="00874565" w:rsidP="00874565">
      <w:pPr>
        <w:spacing w:after="0" w:line="240" w:lineRule="auto"/>
        <w:ind w:left="0" w:firstLine="0"/>
        <w:rPr>
          <w:rFonts w:ascii="Calibri" w:hAnsi="Calibri" w:cs="Calibri"/>
        </w:rPr>
      </w:pPr>
      <w:r>
        <w:rPr>
          <w:rFonts w:ascii="Calibri" w:hAnsi="Calibri" w:cs="Calibri"/>
        </w:rPr>
        <w:br w:type="page"/>
      </w:r>
    </w:p>
    <w:p w14:paraId="7559F7C3" w14:textId="301239CF" w:rsidR="00874565" w:rsidRPr="00874565" w:rsidRDefault="00874565" w:rsidP="00874565">
      <w:pPr>
        <w:spacing w:after="0" w:line="240" w:lineRule="auto"/>
        <w:ind w:left="0" w:firstLine="0"/>
        <w:rPr>
          <w:rFonts w:ascii="Calibri" w:hAnsi="Calibri" w:cs="Calibri"/>
          <w:b/>
          <w:bCs/>
          <w:color w:val="004479"/>
          <w:sz w:val="32"/>
          <w:szCs w:val="32"/>
          <w:lang w:val="en-GB"/>
        </w:rPr>
      </w:pPr>
      <w:r>
        <w:rPr>
          <w:rFonts w:ascii="Calibri" w:hAnsi="Calibri" w:cs="Calibri"/>
          <w:b/>
          <w:bCs/>
          <w:color w:val="004479"/>
          <w:sz w:val="32"/>
          <w:szCs w:val="32"/>
        </w:rPr>
        <w:lastRenderedPageBreak/>
        <w:t>WWDA</w:t>
      </w:r>
      <w:r>
        <w:rPr>
          <w:rFonts w:ascii="Calibri" w:hAnsi="Calibri" w:cs="Calibri"/>
          <w:b/>
          <w:bCs/>
          <w:color w:val="004479"/>
          <w:sz w:val="32"/>
          <w:szCs w:val="32"/>
        </w:rPr>
        <w:t xml:space="preserve"> </w:t>
      </w:r>
      <w:r w:rsidRPr="00874565">
        <w:rPr>
          <w:rFonts w:ascii="Calibri" w:hAnsi="Calibri" w:cs="Calibri"/>
          <w:b/>
          <w:bCs/>
          <w:color w:val="004479"/>
          <w:sz w:val="32"/>
          <w:szCs w:val="32"/>
          <w:lang w:val="en-US"/>
        </w:rPr>
        <w:t xml:space="preserve">RESPONSE TO </w:t>
      </w:r>
      <w:r w:rsidRPr="00874565">
        <w:rPr>
          <w:rFonts w:ascii="Calibri" w:hAnsi="Calibri" w:cs="Calibri"/>
          <w:b/>
          <w:bCs/>
          <w:color w:val="004479"/>
          <w:sz w:val="32"/>
          <w:szCs w:val="32"/>
        </w:rPr>
        <w:t>AUSTRALIA’S DRAFT SIXTH REPORT UNDER THE INTERNATIONAL COVENANT ON ECONOMIC, SOCIAL AND CULTURAL RIGHTS (ICESCR)</w:t>
      </w:r>
    </w:p>
    <w:p w14:paraId="566A480F" w14:textId="436C2BF4" w:rsidR="00874565" w:rsidRPr="0060450F" w:rsidRDefault="00874565" w:rsidP="0060450F">
      <w:pPr>
        <w:pStyle w:val="ListParagraph"/>
        <w:numPr>
          <w:ilvl w:val="0"/>
          <w:numId w:val="24"/>
        </w:numPr>
        <w:spacing w:before="100" w:beforeAutospacing="1" w:afterAutospacing="1" w:line="276" w:lineRule="auto"/>
        <w:contextualSpacing w:val="0"/>
        <w:rPr>
          <w:rFonts w:ascii="Calibri" w:hAnsi="Calibri" w:cs="Calibri"/>
          <w:i/>
          <w:iCs/>
          <w:color w:val="000000" w:themeColor="text1"/>
        </w:rPr>
      </w:pPr>
      <w:r w:rsidRPr="001974FF">
        <w:rPr>
          <w:rFonts w:ascii="Calibri" w:hAnsi="Calibri" w:cs="Calibri"/>
          <w:color w:val="000000" w:themeColor="text1"/>
        </w:rPr>
        <w:t>Women With Disabilities Australia (</w:t>
      </w:r>
      <w:r w:rsidRPr="00874565">
        <w:rPr>
          <w:rFonts w:ascii="Calibri" w:hAnsi="Calibri" w:cs="Calibri"/>
          <w:b/>
          <w:bCs/>
          <w:color w:val="000000" w:themeColor="text1"/>
        </w:rPr>
        <w:t>WWDA</w:t>
      </w:r>
      <w:r w:rsidRPr="001974FF">
        <w:rPr>
          <w:rFonts w:ascii="Calibri" w:hAnsi="Calibri" w:cs="Calibri"/>
          <w:color w:val="000000" w:themeColor="text1"/>
        </w:rPr>
        <w:t xml:space="preserve">) welcomes the opportunity to respond to the call for </w:t>
      </w:r>
      <w:r>
        <w:rPr>
          <w:rFonts w:ascii="Calibri" w:hAnsi="Calibri" w:cs="Calibri"/>
          <w:color w:val="000000" w:themeColor="text1"/>
        </w:rPr>
        <w:t>comments on Australia’s draf</w:t>
      </w:r>
      <w:r w:rsidRPr="00874565">
        <w:rPr>
          <w:rFonts w:ascii="Calibri" w:hAnsi="Calibri" w:cs="Calibri"/>
          <w:color w:val="000000" w:themeColor="text1"/>
        </w:rPr>
        <w:t xml:space="preserve">t </w:t>
      </w:r>
      <w:r w:rsidRPr="00874565">
        <w:rPr>
          <w:rFonts w:ascii="Calibri" w:hAnsi="Calibri" w:cs="Calibri"/>
          <w:color w:val="000000" w:themeColor="text1"/>
        </w:rPr>
        <w:t>sixth report under the International Covenant on Economic, Social and Cultural Rights (</w:t>
      </w:r>
      <w:r w:rsidRPr="00874565">
        <w:rPr>
          <w:rFonts w:ascii="Calibri" w:hAnsi="Calibri" w:cs="Calibri"/>
          <w:b/>
          <w:bCs/>
          <w:color w:val="000000" w:themeColor="text1"/>
        </w:rPr>
        <w:t>ICESCR</w:t>
      </w:r>
      <w:r w:rsidRPr="00874565">
        <w:rPr>
          <w:rFonts w:ascii="Calibri" w:hAnsi="Calibri" w:cs="Calibri"/>
          <w:color w:val="000000" w:themeColor="text1"/>
        </w:rPr>
        <w:t>)</w:t>
      </w:r>
      <w:r w:rsidR="00A016A8">
        <w:rPr>
          <w:rFonts w:ascii="Calibri" w:hAnsi="Calibri" w:cs="Calibri"/>
          <w:color w:val="000000" w:themeColor="text1"/>
        </w:rPr>
        <w:t xml:space="preserve"> (</w:t>
      </w:r>
      <w:r w:rsidR="00A016A8" w:rsidRPr="00A016A8">
        <w:rPr>
          <w:rFonts w:ascii="Calibri" w:hAnsi="Calibri" w:cs="Calibri"/>
          <w:b/>
          <w:bCs/>
          <w:color w:val="000000" w:themeColor="text1"/>
        </w:rPr>
        <w:t>Draft Report</w:t>
      </w:r>
      <w:r w:rsidR="00A016A8">
        <w:rPr>
          <w:rFonts w:ascii="Calibri" w:hAnsi="Calibri" w:cs="Calibri"/>
          <w:color w:val="000000" w:themeColor="text1"/>
        </w:rPr>
        <w:t>)</w:t>
      </w:r>
      <w:r w:rsidRPr="00874565">
        <w:rPr>
          <w:rFonts w:ascii="Calibri" w:hAnsi="Calibri" w:cs="Calibri"/>
          <w:color w:val="000000" w:themeColor="text1"/>
        </w:rPr>
        <w:t xml:space="preserve">. </w:t>
      </w:r>
      <w:r w:rsidRPr="001974FF">
        <w:rPr>
          <w:rFonts w:ascii="Calibri" w:hAnsi="Calibri" w:cs="Calibri"/>
          <w:color w:val="000000" w:themeColor="text1"/>
        </w:rPr>
        <w:t xml:space="preserve">WWDA commends the </w:t>
      </w:r>
      <w:r>
        <w:rPr>
          <w:rFonts w:ascii="Calibri" w:hAnsi="Calibri" w:cs="Calibri"/>
          <w:color w:val="000000" w:themeColor="text1"/>
        </w:rPr>
        <w:t xml:space="preserve">Australian </w:t>
      </w:r>
      <w:r w:rsidRPr="001974FF">
        <w:rPr>
          <w:rFonts w:ascii="Calibri" w:hAnsi="Calibri" w:cs="Calibri"/>
          <w:color w:val="000000" w:themeColor="text1"/>
        </w:rPr>
        <w:t xml:space="preserve">Government on </w:t>
      </w:r>
      <w:r>
        <w:rPr>
          <w:rFonts w:ascii="Calibri" w:hAnsi="Calibri" w:cs="Calibri"/>
          <w:color w:val="000000" w:themeColor="text1"/>
        </w:rPr>
        <w:t>the steps it has taken to recognise and advance the ec</w:t>
      </w:r>
      <w:r w:rsidRPr="00874565">
        <w:rPr>
          <w:rFonts w:ascii="Calibri" w:hAnsi="Calibri" w:cs="Calibri"/>
          <w:color w:val="000000" w:themeColor="text1"/>
        </w:rPr>
        <w:t xml:space="preserve">onomic, </w:t>
      </w:r>
      <w:proofErr w:type="gramStart"/>
      <w:r>
        <w:rPr>
          <w:rFonts w:ascii="Calibri" w:hAnsi="Calibri" w:cs="Calibri"/>
          <w:color w:val="000000" w:themeColor="text1"/>
        </w:rPr>
        <w:t>s</w:t>
      </w:r>
      <w:r w:rsidRPr="00874565">
        <w:rPr>
          <w:rFonts w:ascii="Calibri" w:hAnsi="Calibri" w:cs="Calibri"/>
          <w:color w:val="000000" w:themeColor="text1"/>
        </w:rPr>
        <w:t>ocial</w:t>
      </w:r>
      <w:proofErr w:type="gramEnd"/>
      <w:r w:rsidRPr="00874565">
        <w:rPr>
          <w:rFonts w:ascii="Calibri" w:hAnsi="Calibri" w:cs="Calibri"/>
          <w:color w:val="000000" w:themeColor="text1"/>
        </w:rPr>
        <w:t xml:space="preserve"> and </w:t>
      </w:r>
      <w:r>
        <w:rPr>
          <w:rFonts w:ascii="Calibri" w:hAnsi="Calibri" w:cs="Calibri"/>
          <w:color w:val="000000" w:themeColor="text1"/>
        </w:rPr>
        <w:t>c</w:t>
      </w:r>
      <w:r w:rsidRPr="00874565">
        <w:rPr>
          <w:rFonts w:ascii="Calibri" w:hAnsi="Calibri" w:cs="Calibri"/>
          <w:color w:val="000000" w:themeColor="text1"/>
        </w:rPr>
        <w:t xml:space="preserve">ultural </w:t>
      </w:r>
      <w:r>
        <w:rPr>
          <w:rFonts w:ascii="Calibri" w:hAnsi="Calibri" w:cs="Calibri"/>
          <w:color w:val="000000" w:themeColor="text1"/>
        </w:rPr>
        <w:t>r</w:t>
      </w:r>
      <w:r w:rsidRPr="00874565">
        <w:rPr>
          <w:rFonts w:ascii="Calibri" w:hAnsi="Calibri" w:cs="Calibri"/>
          <w:color w:val="000000" w:themeColor="text1"/>
        </w:rPr>
        <w:t>ights</w:t>
      </w:r>
      <w:r>
        <w:rPr>
          <w:rFonts w:ascii="Calibri" w:hAnsi="Calibri" w:cs="Calibri"/>
          <w:color w:val="000000" w:themeColor="text1"/>
        </w:rPr>
        <w:t xml:space="preserve"> of the Australian public. </w:t>
      </w:r>
      <w:r w:rsidRPr="0060450F">
        <w:rPr>
          <w:rFonts w:ascii="Calibri" w:hAnsi="Calibri" w:cs="Calibri"/>
          <w:color w:val="000000" w:themeColor="text1"/>
        </w:rPr>
        <w:t>However, WWDA is</w:t>
      </w:r>
      <w:r w:rsidR="00A016A8" w:rsidRPr="0060450F">
        <w:rPr>
          <w:rFonts w:ascii="Calibri" w:hAnsi="Calibri" w:cs="Calibri"/>
          <w:color w:val="000000" w:themeColor="text1"/>
        </w:rPr>
        <w:t xml:space="preserve"> </w:t>
      </w:r>
      <w:r w:rsidRPr="0060450F">
        <w:rPr>
          <w:rFonts w:ascii="Calibri" w:hAnsi="Calibri" w:cs="Calibri"/>
          <w:color w:val="000000" w:themeColor="text1"/>
        </w:rPr>
        <w:t xml:space="preserve">concerned that those steps are </w:t>
      </w:r>
      <w:r w:rsidR="00217FA1">
        <w:rPr>
          <w:rFonts w:ascii="Calibri" w:hAnsi="Calibri" w:cs="Calibri"/>
          <w:color w:val="000000" w:themeColor="text1"/>
        </w:rPr>
        <w:t xml:space="preserve">not </w:t>
      </w:r>
      <w:r w:rsidRPr="0060450F">
        <w:rPr>
          <w:rFonts w:ascii="Calibri" w:hAnsi="Calibri" w:cs="Calibri"/>
          <w:color w:val="000000" w:themeColor="text1"/>
        </w:rPr>
        <w:t>adequate</w:t>
      </w:r>
      <w:r w:rsidR="00217FA1">
        <w:rPr>
          <w:rFonts w:ascii="Calibri" w:hAnsi="Calibri" w:cs="Calibri"/>
          <w:color w:val="000000" w:themeColor="text1"/>
        </w:rPr>
        <w:t xml:space="preserve"> to give effect to the Co</w:t>
      </w:r>
      <w:r w:rsidR="00E63F88">
        <w:rPr>
          <w:rFonts w:ascii="Calibri" w:hAnsi="Calibri" w:cs="Calibri"/>
          <w:color w:val="000000" w:themeColor="text1"/>
        </w:rPr>
        <w:t>venant</w:t>
      </w:r>
      <w:r w:rsidRPr="0060450F">
        <w:rPr>
          <w:rFonts w:ascii="Calibri" w:hAnsi="Calibri" w:cs="Calibri"/>
          <w:color w:val="000000" w:themeColor="text1"/>
        </w:rPr>
        <w:t xml:space="preserve">, and further that the </w:t>
      </w:r>
      <w:r w:rsidR="00A016A8" w:rsidRPr="0060450F">
        <w:rPr>
          <w:rFonts w:ascii="Calibri" w:hAnsi="Calibri" w:cs="Calibri"/>
          <w:color w:val="000000" w:themeColor="text1"/>
        </w:rPr>
        <w:t xml:space="preserve">Draft Report fails to substantively address </w:t>
      </w:r>
      <w:proofErr w:type="gramStart"/>
      <w:r w:rsidR="00217FA1">
        <w:rPr>
          <w:rFonts w:ascii="Calibri" w:hAnsi="Calibri" w:cs="Calibri"/>
          <w:color w:val="000000" w:themeColor="text1"/>
        </w:rPr>
        <w:t>a number of</w:t>
      </w:r>
      <w:proofErr w:type="gramEnd"/>
      <w:r w:rsidR="00217FA1">
        <w:rPr>
          <w:rFonts w:ascii="Calibri" w:hAnsi="Calibri" w:cs="Calibri"/>
          <w:color w:val="000000" w:themeColor="text1"/>
        </w:rPr>
        <w:t xml:space="preserve"> </w:t>
      </w:r>
      <w:r w:rsidR="00A016A8" w:rsidRPr="0060450F">
        <w:rPr>
          <w:rFonts w:ascii="Calibri" w:hAnsi="Calibri" w:cs="Calibri"/>
          <w:color w:val="000000" w:themeColor="text1"/>
        </w:rPr>
        <w:t xml:space="preserve">the questions posed by the </w:t>
      </w:r>
      <w:r w:rsidR="00A016A8" w:rsidRPr="0060450F">
        <w:rPr>
          <w:rFonts w:ascii="Calibri" w:hAnsi="Calibri" w:cs="Calibri"/>
          <w:color w:val="000000" w:themeColor="text1"/>
        </w:rPr>
        <w:t>Committee on Economic, Social and Cultural Rights (</w:t>
      </w:r>
      <w:r w:rsidR="00A016A8" w:rsidRPr="0060450F">
        <w:rPr>
          <w:rFonts w:ascii="Calibri" w:hAnsi="Calibri" w:cs="Calibri"/>
          <w:b/>
          <w:bCs/>
          <w:color w:val="000000" w:themeColor="text1"/>
        </w:rPr>
        <w:t>CESCR</w:t>
      </w:r>
      <w:r w:rsidR="00A016A8" w:rsidRPr="0060450F">
        <w:rPr>
          <w:rFonts w:ascii="Calibri" w:hAnsi="Calibri" w:cs="Calibri"/>
          <w:color w:val="000000" w:themeColor="text1"/>
        </w:rPr>
        <w:t>)</w:t>
      </w:r>
      <w:r w:rsidR="00A016A8" w:rsidRPr="0060450F">
        <w:rPr>
          <w:rFonts w:ascii="Calibri" w:hAnsi="Calibri" w:cs="Calibri"/>
          <w:color w:val="000000" w:themeColor="text1"/>
        </w:rPr>
        <w:t xml:space="preserve">. We note that while the Australian Government has been asked to provide comprehensive and </w:t>
      </w:r>
      <w:r w:rsidR="00E63F88">
        <w:rPr>
          <w:rFonts w:ascii="Calibri" w:hAnsi="Calibri" w:cs="Calibri"/>
          <w:color w:val="000000" w:themeColor="text1"/>
        </w:rPr>
        <w:t xml:space="preserve">detailed </w:t>
      </w:r>
      <w:r w:rsidR="00A016A8" w:rsidRPr="0060450F">
        <w:rPr>
          <w:rFonts w:ascii="Calibri" w:hAnsi="Calibri" w:cs="Calibri"/>
          <w:color w:val="000000" w:themeColor="text1"/>
        </w:rPr>
        <w:t xml:space="preserve">answers to the </w:t>
      </w:r>
      <w:r w:rsidR="00217FA1" w:rsidRPr="00217FA1">
        <w:rPr>
          <w:rFonts w:ascii="Calibri" w:hAnsi="Calibri" w:cs="Calibri"/>
          <w:color w:val="000000" w:themeColor="text1"/>
        </w:rPr>
        <w:t>Committee</w:t>
      </w:r>
      <w:r w:rsidR="00E63F88">
        <w:rPr>
          <w:rFonts w:ascii="Calibri" w:hAnsi="Calibri" w:cs="Calibri"/>
          <w:color w:val="000000" w:themeColor="text1"/>
        </w:rPr>
        <w:t>’s questions</w:t>
      </w:r>
      <w:r w:rsidR="00A016A8" w:rsidRPr="00217FA1">
        <w:rPr>
          <w:rFonts w:ascii="Calibri" w:hAnsi="Calibri" w:cs="Calibri"/>
          <w:color w:val="000000" w:themeColor="text1"/>
        </w:rPr>
        <w:t xml:space="preserve">, the </w:t>
      </w:r>
      <w:r w:rsidR="00E63F88">
        <w:rPr>
          <w:rFonts w:ascii="Calibri" w:hAnsi="Calibri" w:cs="Calibri"/>
          <w:color w:val="000000" w:themeColor="text1"/>
        </w:rPr>
        <w:t xml:space="preserve">responses are </w:t>
      </w:r>
      <w:r w:rsidR="00A016A8" w:rsidRPr="00217FA1">
        <w:rPr>
          <w:rFonts w:ascii="Calibri" w:hAnsi="Calibri" w:cs="Calibri"/>
          <w:color w:val="000000" w:themeColor="text1"/>
        </w:rPr>
        <w:t>o</w:t>
      </w:r>
      <w:r w:rsidR="0060450F" w:rsidRPr="00217FA1">
        <w:rPr>
          <w:rFonts w:ascii="Calibri" w:hAnsi="Calibri" w:cs="Calibri"/>
          <w:color w:val="000000" w:themeColor="text1"/>
        </w:rPr>
        <w:t xml:space="preserve">ften </w:t>
      </w:r>
      <w:r w:rsidR="00E63F88">
        <w:rPr>
          <w:rFonts w:ascii="Calibri" w:hAnsi="Calibri" w:cs="Calibri"/>
          <w:color w:val="000000" w:themeColor="text1"/>
        </w:rPr>
        <w:t>general in nature.</w:t>
      </w:r>
      <w:r w:rsidR="00A016A8" w:rsidRPr="00217FA1">
        <w:rPr>
          <w:rFonts w:ascii="Calibri" w:hAnsi="Calibri" w:cs="Calibri"/>
          <w:color w:val="000000" w:themeColor="text1"/>
        </w:rPr>
        <w:t xml:space="preserve"> Further, despite calls from the Committee to </w:t>
      </w:r>
      <w:proofErr w:type="gramStart"/>
      <w:r w:rsidR="00217FA1" w:rsidRPr="00217FA1">
        <w:rPr>
          <w:rFonts w:ascii="Calibri" w:hAnsi="Calibri" w:cs="Calibri"/>
          <w:color w:val="000000" w:themeColor="text1"/>
        </w:rPr>
        <w:t>take action</w:t>
      </w:r>
      <w:proofErr w:type="gramEnd"/>
      <w:r w:rsidR="00217FA1" w:rsidRPr="00217FA1">
        <w:rPr>
          <w:rFonts w:ascii="Calibri" w:hAnsi="Calibri" w:cs="Calibri"/>
          <w:color w:val="000000" w:themeColor="text1"/>
        </w:rPr>
        <w:t xml:space="preserve"> on certain key</w:t>
      </w:r>
      <w:r w:rsidR="00A016A8" w:rsidRPr="00217FA1">
        <w:rPr>
          <w:rFonts w:ascii="Calibri" w:hAnsi="Calibri" w:cs="Calibri"/>
          <w:color w:val="000000" w:themeColor="text1"/>
        </w:rPr>
        <w:t xml:space="preserve"> areas, the Draft Report fails to </w:t>
      </w:r>
      <w:r w:rsidR="00217FA1" w:rsidRPr="00217FA1">
        <w:rPr>
          <w:rFonts w:ascii="Calibri" w:hAnsi="Calibri" w:cs="Calibri"/>
          <w:color w:val="000000" w:themeColor="text1"/>
        </w:rPr>
        <w:t xml:space="preserve">present a balanced picture of where and why </w:t>
      </w:r>
      <w:r w:rsidR="00E63F88">
        <w:rPr>
          <w:rFonts w:ascii="Calibri" w:hAnsi="Calibri" w:cs="Calibri"/>
          <w:color w:val="000000" w:themeColor="text1"/>
        </w:rPr>
        <w:t xml:space="preserve">such </w:t>
      </w:r>
      <w:r w:rsidR="00217FA1" w:rsidRPr="00217FA1">
        <w:rPr>
          <w:rFonts w:ascii="Calibri" w:hAnsi="Calibri" w:cs="Calibri"/>
          <w:color w:val="000000" w:themeColor="text1"/>
        </w:rPr>
        <w:t>progress has not been made.</w:t>
      </w:r>
      <w:r w:rsidR="00A016A8" w:rsidRPr="0060450F">
        <w:rPr>
          <w:rFonts w:ascii="Calibri" w:hAnsi="Calibri" w:cs="Calibri"/>
          <w:color w:val="000000" w:themeColor="text1"/>
        </w:rPr>
        <w:br/>
      </w:r>
    </w:p>
    <w:p w14:paraId="6B03EF9D" w14:textId="7D90F131" w:rsidR="00A016A8" w:rsidRPr="00A016A8" w:rsidRDefault="00A016A8" w:rsidP="00A016A8">
      <w:pPr>
        <w:pStyle w:val="ListParagraph"/>
        <w:numPr>
          <w:ilvl w:val="0"/>
          <w:numId w:val="24"/>
        </w:numPr>
        <w:spacing w:before="100" w:beforeAutospacing="1" w:afterAutospacing="1" w:line="276" w:lineRule="auto"/>
        <w:contextualSpacing w:val="0"/>
        <w:rPr>
          <w:rFonts w:ascii="Calibri" w:hAnsi="Calibri" w:cs="Calibri"/>
          <w:i/>
          <w:iCs/>
          <w:color w:val="000000" w:themeColor="text1"/>
        </w:rPr>
      </w:pPr>
      <w:r>
        <w:rPr>
          <w:rFonts w:ascii="Calibri" w:hAnsi="Calibri" w:cs="Calibri"/>
          <w:color w:val="000000" w:themeColor="text1"/>
        </w:rPr>
        <w:t xml:space="preserve">Unfortunately, due to the short timeframe provided, </w:t>
      </w:r>
      <w:r w:rsidR="00586911">
        <w:rPr>
          <w:rFonts w:ascii="Calibri" w:hAnsi="Calibri" w:cs="Calibri"/>
          <w:color w:val="000000" w:themeColor="text1"/>
        </w:rPr>
        <w:t xml:space="preserve">issues </w:t>
      </w:r>
      <w:r>
        <w:rPr>
          <w:rFonts w:ascii="Calibri" w:hAnsi="Calibri" w:cs="Calibri"/>
          <w:color w:val="000000" w:themeColor="text1"/>
        </w:rPr>
        <w:t xml:space="preserve">of limited resourcing, </w:t>
      </w:r>
      <w:r w:rsidR="00586911">
        <w:rPr>
          <w:rFonts w:ascii="Calibri" w:hAnsi="Calibri" w:cs="Calibri"/>
          <w:color w:val="000000" w:themeColor="text1"/>
        </w:rPr>
        <w:t xml:space="preserve">and the demands of significant reforms within the disability sector, </w:t>
      </w:r>
      <w:r>
        <w:rPr>
          <w:rFonts w:ascii="Calibri" w:hAnsi="Calibri" w:cs="Calibri"/>
          <w:color w:val="000000" w:themeColor="text1"/>
        </w:rPr>
        <w:t>we have been unable to prepare a fulsome response to the Draft Report. However, we</w:t>
      </w:r>
      <w:r w:rsidR="0060450F">
        <w:rPr>
          <w:rFonts w:ascii="Calibri" w:hAnsi="Calibri" w:cs="Calibri"/>
          <w:color w:val="000000" w:themeColor="text1"/>
        </w:rPr>
        <w:t xml:space="preserve"> set out our key concerns below and</w:t>
      </w:r>
      <w:r>
        <w:rPr>
          <w:rFonts w:ascii="Calibri" w:hAnsi="Calibri" w:cs="Calibri"/>
          <w:color w:val="000000" w:themeColor="text1"/>
        </w:rPr>
        <w:t xml:space="preserve"> trust that </w:t>
      </w:r>
      <w:r w:rsidR="0060450F">
        <w:rPr>
          <w:rFonts w:ascii="Calibri" w:hAnsi="Calibri" w:cs="Calibri"/>
          <w:color w:val="000000" w:themeColor="text1"/>
        </w:rPr>
        <w:t>our response</w:t>
      </w:r>
      <w:r>
        <w:rPr>
          <w:rFonts w:ascii="Calibri" w:hAnsi="Calibri" w:cs="Calibri"/>
          <w:color w:val="000000" w:themeColor="text1"/>
        </w:rPr>
        <w:t xml:space="preserve"> will be of assistance to the Australian Government. </w:t>
      </w:r>
    </w:p>
    <w:p w14:paraId="086C196E" w14:textId="3022581B" w:rsidR="00A016A8" w:rsidRDefault="005B3FB2" w:rsidP="00A016A8">
      <w:pPr>
        <w:ind w:left="0" w:firstLine="0"/>
        <w:rPr>
          <w:rFonts w:ascii="Calibri" w:hAnsi="Calibri" w:cs="Calibri"/>
          <w:b/>
          <w:bCs/>
          <w:color w:val="AC1F79"/>
          <w:sz w:val="28"/>
          <w:szCs w:val="28"/>
        </w:rPr>
      </w:pPr>
      <w:r>
        <w:rPr>
          <w:rFonts w:ascii="Calibri" w:hAnsi="Calibri" w:cs="Calibri"/>
          <w:b/>
          <w:bCs/>
          <w:color w:val="AC1F79"/>
          <w:sz w:val="28"/>
          <w:szCs w:val="28"/>
        </w:rPr>
        <w:t xml:space="preserve">Part I - </w:t>
      </w:r>
      <w:r w:rsidR="00B8023D">
        <w:rPr>
          <w:rFonts w:ascii="Calibri" w:hAnsi="Calibri" w:cs="Calibri"/>
          <w:b/>
          <w:bCs/>
          <w:color w:val="AC1F79"/>
          <w:sz w:val="28"/>
          <w:szCs w:val="28"/>
        </w:rPr>
        <w:t>General Information</w:t>
      </w:r>
    </w:p>
    <w:p w14:paraId="50101A18" w14:textId="38AE8CCE" w:rsidR="00586911" w:rsidRPr="00C71435" w:rsidRDefault="00586911" w:rsidP="00C71435">
      <w:pPr>
        <w:pStyle w:val="ListParagraph"/>
        <w:numPr>
          <w:ilvl w:val="0"/>
          <w:numId w:val="24"/>
        </w:numPr>
        <w:spacing w:before="100" w:beforeAutospacing="1" w:afterAutospacing="1" w:line="276" w:lineRule="auto"/>
        <w:contextualSpacing w:val="0"/>
        <w:rPr>
          <w:rFonts w:ascii="Calibri" w:hAnsi="Calibri" w:cs="Calibri"/>
          <w:color w:val="000000" w:themeColor="text1"/>
        </w:rPr>
      </w:pPr>
      <w:r w:rsidRPr="00586911">
        <w:rPr>
          <w:rFonts w:ascii="Calibri" w:hAnsi="Calibri" w:cs="Calibri"/>
          <w:color w:val="000000" w:themeColor="text1"/>
        </w:rPr>
        <w:t xml:space="preserve">WWDA is concerned that, despite the Australian Government’s </w:t>
      </w:r>
      <w:r w:rsidR="00217FA1">
        <w:rPr>
          <w:rFonts w:ascii="Calibri" w:hAnsi="Calibri" w:cs="Calibri"/>
          <w:color w:val="000000" w:themeColor="text1"/>
        </w:rPr>
        <w:t xml:space="preserve">view </w:t>
      </w:r>
      <w:r w:rsidRPr="00586911">
        <w:rPr>
          <w:rFonts w:ascii="Calibri" w:hAnsi="Calibri" w:cs="Calibri"/>
          <w:color w:val="000000" w:themeColor="text1"/>
        </w:rPr>
        <w:t>that it has a strong framework for protecting and advancing human rights,</w:t>
      </w:r>
      <w:r w:rsidRPr="00586911">
        <w:rPr>
          <w:rFonts w:ascii="Calibri" w:hAnsi="Calibri" w:cs="Calibri"/>
          <w:color w:val="000000" w:themeColor="text1"/>
          <w:vertAlign w:val="superscript"/>
        </w:rPr>
        <w:endnoteReference w:id="2"/>
      </w:r>
      <w:r w:rsidRPr="00586911">
        <w:rPr>
          <w:rFonts w:ascii="Calibri" w:hAnsi="Calibri" w:cs="Calibri"/>
          <w:color w:val="000000" w:themeColor="text1"/>
          <w:vertAlign w:val="superscript"/>
        </w:rPr>
        <w:t xml:space="preserve"> </w:t>
      </w:r>
      <w:r w:rsidRPr="00586911">
        <w:rPr>
          <w:rFonts w:ascii="Calibri" w:hAnsi="Calibri" w:cs="Calibri"/>
          <w:color w:val="000000" w:themeColor="text1"/>
        </w:rPr>
        <w:t xml:space="preserve">Australia does not have a dedicated Human Rights Act. </w:t>
      </w:r>
      <w:r w:rsidRPr="00C71435">
        <w:rPr>
          <w:rFonts w:ascii="Calibri" w:hAnsi="Calibri" w:cs="Calibri"/>
          <w:color w:val="000000" w:themeColor="text1"/>
        </w:rPr>
        <w:t>WWDA calls on the Government to fully incorporate its international human rights obligations into domestic law by introducing a federal</w:t>
      </w:r>
      <w:r w:rsidR="00217FA1">
        <w:rPr>
          <w:rFonts w:ascii="Calibri" w:hAnsi="Calibri" w:cs="Calibri"/>
          <w:color w:val="000000" w:themeColor="text1"/>
        </w:rPr>
        <w:t xml:space="preserve">, judicially enforceable Act </w:t>
      </w:r>
      <w:r w:rsidRPr="00C71435">
        <w:rPr>
          <w:rFonts w:ascii="Calibri" w:hAnsi="Calibri" w:cs="Calibri"/>
          <w:color w:val="000000" w:themeColor="text1"/>
        </w:rPr>
        <w:t>that includes</w:t>
      </w:r>
      <w:r w:rsidR="00217FA1">
        <w:rPr>
          <w:rFonts w:ascii="Calibri" w:hAnsi="Calibri" w:cs="Calibri"/>
          <w:color w:val="000000" w:themeColor="text1"/>
        </w:rPr>
        <w:t xml:space="preserve"> the</w:t>
      </w:r>
      <w:r w:rsidRPr="00C71435">
        <w:rPr>
          <w:rFonts w:ascii="Calibri" w:hAnsi="Calibri" w:cs="Calibri"/>
          <w:color w:val="000000" w:themeColor="text1"/>
        </w:rPr>
        <w:t xml:space="preserve"> protection of economic, </w:t>
      </w:r>
      <w:proofErr w:type="gramStart"/>
      <w:r w:rsidRPr="00C71435">
        <w:rPr>
          <w:rFonts w:ascii="Calibri" w:hAnsi="Calibri" w:cs="Calibri"/>
          <w:color w:val="000000" w:themeColor="text1"/>
        </w:rPr>
        <w:t>social</w:t>
      </w:r>
      <w:proofErr w:type="gramEnd"/>
      <w:r w:rsidRPr="00C71435">
        <w:rPr>
          <w:rFonts w:ascii="Calibri" w:hAnsi="Calibri" w:cs="Calibri"/>
          <w:color w:val="000000" w:themeColor="text1"/>
        </w:rPr>
        <w:t xml:space="preserve"> and cultural rights.</w:t>
      </w:r>
      <w:r w:rsidR="00C71435">
        <w:rPr>
          <w:rFonts w:ascii="Calibri" w:hAnsi="Calibri" w:cs="Calibri"/>
          <w:color w:val="000000" w:themeColor="text1"/>
        </w:rPr>
        <w:t xml:space="preserve"> </w:t>
      </w:r>
      <w:r w:rsidR="00C71435">
        <w:rPr>
          <w:rFonts w:ascii="Calibri" w:hAnsi="Calibri" w:cs="Calibri"/>
          <w:color w:val="000000" w:themeColor="text1"/>
        </w:rPr>
        <w:t>Further, while acknowledg</w:t>
      </w:r>
      <w:r w:rsidR="00E63F88">
        <w:rPr>
          <w:rFonts w:ascii="Calibri" w:hAnsi="Calibri" w:cs="Calibri"/>
          <w:color w:val="000000" w:themeColor="text1"/>
        </w:rPr>
        <w:t>ing</w:t>
      </w:r>
      <w:r w:rsidR="00C71435">
        <w:rPr>
          <w:rFonts w:ascii="Calibri" w:hAnsi="Calibri" w:cs="Calibri"/>
          <w:color w:val="000000" w:themeColor="text1"/>
        </w:rPr>
        <w:t xml:space="preserve"> that the Australian Government does not maintain data on decisions </w:t>
      </w:r>
      <w:r w:rsidR="00C71435" w:rsidRPr="00586911">
        <w:rPr>
          <w:rFonts w:ascii="Calibri" w:hAnsi="Calibri" w:cs="Calibri"/>
          <w:color w:val="000000" w:themeColor="text1"/>
          <w:lang w:val="en-GB"/>
        </w:rPr>
        <w:t xml:space="preserve">in which the ICESCR </w:t>
      </w:r>
      <w:r w:rsidR="00217FA1">
        <w:rPr>
          <w:rFonts w:ascii="Calibri" w:hAnsi="Calibri" w:cs="Calibri"/>
          <w:color w:val="000000" w:themeColor="text1"/>
          <w:lang w:val="en-GB"/>
        </w:rPr>
        <w:t xml:space="preserve">is </w:t>
      </w:r>
      <w:r w:rsidR="00C71435" w:rsidRPr="00586911">
        <w:rPr>
          <w:rFonts w:ascii="Calibri" w:hAnsi="Calibri" w:cs="Calibri"/>
          <w:color w:val="000000" w:themeColor="text1"/>
          <w:lang w:val="en-GB"/>
        </w:rPr>
        <w:t>invoked by domestic courts</w:t>
      </w:r>
      <w:r w:rsidR="00C71435">
        <w:rPr>
          <w:rFonts w:ascii="Calibri" w:hAnsi="Calibri" w:cs="Calibri"/>
          <w:color w:val="000000" w:themeColor="text1"/>
          <w:lang w:val="en-GB"/>
        </w:rPr>
        <w:t xml:space="preserve">, we would be grateful for references to </w:t>
      </w:r>
      <w:r w:rsidR="00C71435">
        <w:rPr>
          <w:rFonts w:ascii="Calibri" w:hAnsi="Calibri" w:cs="Calibri"/>
          <w:color w:val="000000" w:themeColor="text1"/>
        </w:rPr>
        <w:t>the decisions that the Draft Report alludes to, to understand the issue</w:t>
      </w:r>
      <w:r w:rsidR="00E63F88">
        <w:rPr>
          <w:rFonts w:ascii="Calibri" w:hAnsi="Calibri" w:cs="Calibri"/>
          <w:color w:val="000000" w:themeColor="text1"/>
        </w:rPr>
        <w:t>s</w:t>
      </w:r>
      <w:r w:rsidR="00C71435">
        <w:rPr>
          <w:rFonts w:ascii="Calibri" w:hAnsi="Calibri" w:cs="Calibri"/>
          <w:color w:val="000000" w:themeColor="text1"/>
        </w:rPr>
        <w:t xml:space="preserve"> that have been brought before the courts, </w:t>
      </w:r>
      <w:proofErr w:type="gramStart"/>
      <w:r w:rsidR="00C71435">
        <w:rPr>
          <w:rFonts w:ascii="Calibri" w:hAnsi="Calibri" w:cs="Calibri"/>
          <w:color w:val="000000" w:themeColor="text1"/>
        </w:rPr>
        <w:t>commissions</w:t>
      </w:r>
      <w:proofErr w:type="gramEnd"/>
      <w:r w:rsidR="00C71435">
        <w:rPr>
          <w:rFonts w:ascii="Calibri" w:hAnsi="Calibri" w:cs="Calibri"/>
          <w:color w:val="000000" w:themeColor="text1"/>
        </w:rPr>
        <w:t xml:space="preserve"> and tribunals.</w:t>
      </w:r>
      <w:r w:rsidR="00217FA1">
        <w:rPr>
          <w:rStyle w:val="EndnoteReference"/>
          <w:rFonts w:ascii="Calibri" w:hAnsi="Calibri" w:cs="Calibri"/>
          <w:color w:val="000000" w:themeColor="text1"/>
        </w:rPr>
        <w:endnoteReference w:id="3"/>
      </w:r>
      <w:r w:rsidRPr="00C71435">
        <w:rPr>
          <w:rFonts w:ascii="Calibri" w:hAnsi="Calibri" w:cs="Calibri"/>
          <w:color w:val="000000" w:themeColor="text1"/>
        </w:rPr>
        <w:br/>
      </w:r>
    </w:p>
    <w:p w14:paraId="1F1B03B9" w14:textId="4628B9E8" w:rsidR="00B8023D" w:rsidRPr="00C71435" w:rsidRDefault="00B8023D" w:rsidP="00C71435">
      <w:pPr>
        <w:pStyle w:val="ListParagraph"/>
        <w:numPr>
          <w:ilvl w:val="0"/>
          <w:numId w:val="24"/>
        </w:numPr>
        <w:spacing w:before="100" w:beforeAutospacing="1" w:afterAutospacing="1" w:line="276" w:lineRule="auto"/>
        <w:contextualSpacing w:val="0"/>
        <w:rPr>
          <w:rFonts w:ascii="Calibri" w:hAnsi="Calibri" w:cs="Calibri"/>
          <w:color w:val="000000" w:themeColor="text1"/>
        </w:rPr>
      </w:pPr>
      <w:r w:rsidRPr="00B8023D">
        <w:rPr>
          <w:rFonts w:ascii="Calibri" w:hAnsi="Calibri" w:cs="Calibri"/>
          <w:color w:val="000000" w:themeColor="text1"/>
        </w:rPr>
        <w:t xml:space="preserve">WWDA is </w:t>
      </w:r>
      <w:r>
        <w:rPr>
          <w:rFonts w:ascii="Calibri" w:hAnsi="Calibri" w:cs="Calibri"/>
          <w:color w:val="000000" w:themeColor="text1"/>
        </w:rPr>
        <w:t xml:space="preserve">also </w:t>
      </w:r>
      <w:r w:rsidRPr="00B8023D">
        <w:rPr>
          <w:rFonts w:ascii="Calibri" w:hAnsi="Calibri" w:cs="Calibri"/>
          <w:color w:val="000000" w:themeColor="text1"/>
        </w:rPr>
        <w:t>concerned that the Australian Government has not taken adequate steps to provide the Australian Human Rights Commission (</w:t>
      </w:r>
      <w:r w:rsidRPr="00B8023D">
        <w:rPr>
          <w:rFonts w:ascii="Calibri" w:hAnsi="Calibri" w:cs="Calibri"/>
          <w:b/>
          <w:bCs/>
          <w:color w:val="000000" w:themeColor="text1"/>
        </w:rPr>
        <w:t>AHRC</w:t>
      </w:r>
      <w:r w:rsidRPr="00B8023D">
        <w:rPr>
          <w:rFonts w:ascii="Calibri" w:hAnsi="Calibri" w:cs="Calibri"/>
          <w:color w:val="000000" w:themeColor="text1"/>
        </w:rPr>
        <w:t>) with an explicit mandate to deal with the rights enshrined in the Covenant</w:t>
      </w:r>
      <w:bookmarkStart w:id="25" w:name="_Hlk125722089"/>
      <w:r w:rsidRPr="00B8023D">
        <w:rPr>
          <w:rFonts w:ascii="Calibri" w:hAnsi="Calibri" w:cs="Calibri"/>
          <w:color w:val="000000" w:themeColor="text1"/>
        </w:rPr>
        <w:t>.</w:t>
      </w:r>
      <w:r w:rsidRPr="00B8023D">
        <w:rPr>
          <w:rFonts w:ascii="Calibri" w:hAnsi="Calibri" w:cs="Calibri"/>
          <w:color w:val="000000" w:themeColor="text1"/>
          <w:vertAlign w:val="superscript"/>
        </w:rPr>
        <w:endnoteReference w:id="4"/>
      </w:r>
      <w:r w:rsidRPr="00B8023D">
        <w:rPr>
          <w:rFonts w:ascii="Calibri" w:hAnsi="Calibri" w:cs="Calibri"/>
          <w:color w:val="000000" w:themeColor="text1"/>
          <w:vertAlign w:val="superscript"/>
        </w:rPr>
        <w:t xml:space="preserve"> </w:t>
      </w:r>
      <w:r w:rsidRPr="00B8023D">
        <w:rPr>
          <w:rFonts w:ascii="Calibri" w:hAnsi="Calibri" w:cs="Calibri"/>
          <w:color w:val="000000" w:themeColor="text1"/>
        </w:rPr>
        <w:t>WWDA considers this a critical gap</w:t>
      </w:r>
      <w:r w:rsidR="0060450F">
        <w:rPr>
          <w:rFonts w:ascii="Calibri" w:hAnsi="Calibri" w:cs="Calibri"/>
          <w:color w:val="000000" w:themeColor="text1"/>
        </w:rPr>
        <w:t>,</w:t>
      </w:r>
      <w:r w:rsidRPr="00B8023D">
        <w:rPr>
          <w:rFonts w:ascii="Calibri" w:hAnsi="Calibri" w:cs="Calibri"/>
          <w:color w:val="000000" w:themeColor="text1"/>
        </w:rPr>
        <w:t xml:space="preserve"> </w:t>
      </w:r>
      <w:r>
        <w:rPr>
          <w:rFonts w:ascii="Calibri" w:hAnsi="Calibri" w:cs="Calibri"/>
          <w:color w:val="000000" w:themeColor="text1"/>
        </w:rPr>
        <w:t>and</w:t>
      </w:r>
      <w:r w:rsidRPr="00B8023D">
        <w:rPr>
          <w:rFonts w:ascii="Calibri" w:hAnsi="Calibri" w:cs="Calibri"/>
          <w:color w:val="000000" w:themeColor="text1"/>
        </w:rPr>
        <w:t xml:space="preserve"> implores the Australian Government to commit to expanding the statutory definition of ‘human rights’ to recognise </w:t>
      </w:r>
      <w:r w:rsidR="00E63F88">
        <w:rPr>
          <w:rFonts w:ascii="Calibri" w:hAnsi="Calibri" w:cs="Calibri"/>
          <w:color w:val="000000" w:themeColor="text1"/>
        </w:rPr>
        <w:t xml:space="preserve">the </w:t>
      </w:r>
      <w:r w:rsidRPr="00B8023D">
        <w:rPr>
          <w:rFonts w:ascii="Calibri" w:hAnsi="Calibri" w:cs="Calibri"/>
          <w:color w:val="000000" w:themeColor="text1"/>
        </w:rPr>
        <w:t>rights and freedoms contained in the ICESCR.</w:t>
      </w:r>
      <w:r>
        <w:rPr>
          <w:rFonts w:ascii="Calibri" w:hAnsi="Calibri" w:cs="Calibri"/>
          <w:color w:val="000000" w:themeColor="text1"/>
        </w:rPr>
        <w:br/>
      </w:r>
      <w:r w:rsidR="0060450F">
        <w:rPr>
          <w:rFonts w:ascii="Calibri" w:hAnsi="Calibri" w:cs="Calibri"/>
          <w:color w:val="000000" w:themeColor="text1"/>
        </w:rPr>
        <w:t>Moreover, we note that</w:t>
      </w:r>
      <w:r w:rsidRPr="00C71435">
        <w:rPr>
          <w:rFonts w:ascii="Calibri" w:hAnsi="Calibri" w:cs="Calibri"/>
          <w:color w:val="000000" w:themeColor="text1"/>
        </w:rPr>
        <w:t xml:space="preserve"> while the AHRC’s functions </w:t>
      </w:r>
      <w:r w:rsidR="00217FA1">
        <w:rPr>
          <w:rFonts w:ascii="Calibri" w:hAnsi="Calibri" w:cs="Calibri"/>
          <w:color w:val="000000" w:themeColor="text1"/>
        </w:rPr>
        <w:t xml:space="preserve">do </w:t>
      </w:r>
      <w:r w:rsidRPr="00C71435">
        <w:rPr>
          <w:rFonts w:ascii="Calibri" w:hAnsi="Calibri" w:cs="Calibri"/>
          <w:color w:val="000000" w:themeColor="text1"/>
        </w:rPr>
        <w:t>include investigating and conciliating complaints of unlawful discrimination and human rights violations,</w:t>
      </w:r>
      <w:r w:rsidRPr="00217FA1">
        <w:rPr>
          <w:vertAlign w:val="superscript"/>
        </w:rPr>
        <w:endnoteReference w:id="5"/>
      </w:r>
      <w:r w:rsidRPr="00C71435">
        <w:rPr>
          <w:rFonts w:ascii="Calibri" w:hAnsi="Calibri" w:cs="Calibri"/>
          <w:color w:val="000000" w:themeColor="text1"/>
        </w:rPr>
        <w:t xml:space="preserve"> </w:t>
      </w:r>
      <w:bookmarkEnd w:id="25"/>
      <w:r w:rsidRPr="00C71435">
        <w:rPr>
          <w:rFonts w:ascii="Calibri" w:hAnsi="Calibri" w:cs="Calibri"/>
          <w:color w:val="000000" w:themeColor="text1"/>
        </w:rPr>
        <w:t>the anti-</w:t>
      </w:r>
      <w:r w:rsidRPr="00C71435">
        <w:rPr>
          <w:rFonts w:ascii="Calibri" w:hAnsi="Calibri" w:cs="Calibri"/>
          <w:color w:val="000000" w:themeColor="text1"/>
        </w:rPr>
        <w:lastRenderedPageBreak/>
        <w:t>discrimination frameworks</w:t>
      </w:r>
      <w:r w:rsidRPr="00C71435">
        <w:rPr>
          <w:rFonts w:ascii="Calibri" w:hAnsi="Calibri" w:cs="Calibri"/>
          <w:color w:val="000000" w:themeColor="text1"/>
        </w:rPr>
        <w:t xml:space="preserve"> operate only in certain areas of public life,</w:t>
      </w:r>
      <w:r w:rsidRPr="00C71435">
        <w:rPr>
          <w:rFonts w:ascii="Calibri" w:hAnsi="Calibri" w:cs="Calibri"/>
          <w:color w:val="000000" w:themeColor="text1"/>
        </w:rPr>
        <w:t xml:space="preserve"> do not protect against syste</w:t>
      </w:r>
      <w:r w:rsidR="00217FA1">
        <w:rPr>
          <w:rFonts w:ascii="Calibri" w:hAnsi="Calibri" w:cs="Calibri"/>
          <w:color w:val="000000" w:themeColor="text1"/>
        </w:rPr>
        <w:t>m</w:t>
      </w:r>
      <w:r w:rsidRPr="00C71435">
        <w:rPr>
          <w:rFonts w:ascii="Calibri" w:hAnsi="Calibri" w:cs="Calibri"/>
          <w:color w:val="000000" w:themeColor="text1"/>
        </w:rPr>
        <w:t xml:space="preserve">ic discrimination, and do not recognise intersectional discrimination. </w:t>
      </w:r>
      <w:r w:rsidRPr="00C71435">
        <w:rPr>
          <w:rFonts w:ascii="Calibri" w:hAnsi="Calibri" w:cs="Calibri"/>
          <w:color w:val="000000" w:themeColor="text1"/>
        </w:rPr>
        <w:br/>
      </w:r>
    </w:p>
    <w:p w14:paraId="6DE99A90" w14:textId="5BC538A8" w:rsidR="00B8023D" w:rsidRPr="00A35BD5" w:rsidRDefault="0060450F" w:rsidP="00B8023D">
      <w:pPr>
        <w:pStyle w:val="ListParagraph"/>
        <w:numPr>
          <w:ilvl w:val="0"/>
          <w:numId w:val="24"/>
        </w:numPr>
        <w:spacing w:before="100" w:beforeAutospacing="1" w:afterAutospacing="1" w:line="276" w:lineRule="auto"/>
        <w:contextualSpacing w:val="0"/>
        <w:rPr>
          <w:rFonts w:cstheme="minorHAnsi"/>
          <w:color w:val="000000" w:themeColor="text1"/>
        </w:rPr>
      </w:pPr>
      <w:r>
        <w:rPr>
          <w:rFonts w:ascii="Calibri" w:hAnsi="Calibri" w:cs="Calibri"/>
          <w:color w:val="000000" w:themeColor="text1"/>
        </w:rPr>
        <w:t>In</w:t>
      </w:r>
      <w:r w:rsidR="00B8023D">
        <w:rPr>
          <w:rFonts w:ascii="Calibri" w:hAnsi="Calibri" w:cs="Calibri"/>
          <w:color w:val="000000" w:themeColor="text1"/>
        </w:rPr>
        <w:t xml:space="preserve"> relation to access to judicial remedies, we request that the Australian Government clarify whether people with disability are a </w:t>
      </w:r>
      <w:r w:rsidR="00B8023D" w:rsidRPr="00B8023D">
        <w:rPr>
          <w:rFonts w:ascii="Calibri" w:hAnsi="Calibri" w:cs="Calibri"/>
          <w:color w:val="000000" w:themeColor="text1"/>
          <w:lang w:val="en-GB"/>
        </w:rPr>
        <w:t>national priority client group</w:t>
      </w:r>
      <w:r w:rsidR="00B8023D">
        <w:rPr>
          <w:rFonts w:ascii="Calibri" w:hAnsi="Calibri" w:cs="Calibri"/>
          <w:color w:val="000000" w:themeColor="text1"/>
          <w:lang w:val="en-GB"/>
        </w:rPr>
        <w:t xml:space="preserve"> under the </w:t>
      </w:r>
      <w:r w:rsidR="00B8023D" w:rsidRPr="00A35BD5">
        <w:rPr>
          <w:rFonts w:cstheme="minorHAnsi"/>
          <w:color w:val="000000" w:themeColor="text1"/>
          <w:lang w:val="en-GB"/>
        </w:rPr>
        <w:t>National Legal Assistance Partnership</w:t>
      </w:r>
      <w:r w:rsidR="00B8023D" w:rsidRPr="00A35BD5">
        <w:rPr>
          <w:rFonts w:cstheme="minorHAnsi"/>
          <w:color w:val="000000" w:themeColor="text1"/>
          <w:lang w:val="en-GB"/>
        </w:rPr>
        <w:t>.</w:t>
      </w:r>
      <w:r w:rsidR="00B8023D" w:rsidRPr="00A35BD5">
        <w:rPr>
          <w:rStyle w:val="EndnoteReference"/>
          <w:rFonts w:cstheme="minorHAnsi"/>
          <w:color w:val="000000" w:themeColor="text1"/>
          <w:lang w:val="en-GB"/>
        </w:rPr>
        <w:endnoteReference w:id="6"/>
      </w:r>
      <w:r w:rsidR="00B8023D" w:rsidRPr="00A35BD5">
        <w:rPr>
          <w:rFonts w:cstheme="minorHAnsi"/>
          <w:color w:val="000000" w:themeColor="text1"/>
          <w:lang w:val="en-GB"/>
        </w:rPr>
        <w:br/>
      </w:r>
    </w:p>
    <w:p w14:paraId="3C6BED17" w14:textId="7365EA4C" w:rsidR="0050360D" w:rsidRPr="00A35BD5" w:rsidRDefault="00C71435" w:rsidP="0060450F">
      <w:pPr>
        <w:pStyle w:val="ListParagraph"/>
        <w:numPr>
          <w:ilvl w:val="0"/>
          <w:numId w:val="24"/>
        </w:numPr>
        <w:spacing w:before="100" w:beforeAutospacing="1" w:afterAutospacing="1" w:line="276" w:lineRule="auto"/>
        <w:contextualSpacing w:val="0"/>
        <w:rPr>
          <w:rFonts w:cstheme="minorHAnsi"/>
          <w:color w:val="000000" w:themeColor="text1"/>
        </w:rPr>
      </w:pPr>
      <w:r w:rsidRPr="00A35BD5">
        <w:rPr>
          <w:rFonts w:cstheme="minorHAnsi"/>
          <w:color w:val="000000" w:themeColor="text1"/>
        </w:rPr>
        <w:t>WWDA is</w:t>
      </w:r>
      <w:r w:rsidRPr="00A35BD5">
        <w:rPr>
          <w:rFonts w:cstheme="minorHAnsi"/>
          <w:color w:val="000000" w:themeColor="text1"/>
        </w:rPr>
        <w:t xml:space="preserve"> also </w:t>
      </w:r>
      <w:r w:rsidRPr="00A35BD5">
        <w:rPr>
          <w:rFonts w:cstheme="minorHAnsi"/>
          <w:color w:val="000000" w:themeColor="text1"/>
        </w:rPr>
        <w:t xml:space="preserve">concerned that the Draft Report does not </w:t>
      </w:r>
      <w:r w:rsidRPr="00A35BD5">
        <w:rPr>
          <w:rFonts w:cstheme="minorHAnsi"/>
          <w:color w:val="000000" w:themeColor="text1"/>
        </w:rPr>
        <w:t>refer</w:t>
      </w:r>
      <w:r w:rsidR="00635163">
        <w:rPr>
          <w:rFonts w:cstheme="minorHAnsi"/>
          <w:color w:val="000000" w:themeColor="text1"/>
        </w:rPr>
        <w:t xml:space="preserve"> to</w:t>
      </w:r>
      <w:r w:rsidRPr="00A35BD5">
        <w:rPr>
          <w:rFonts w:cstheme="minorHAnsi"/>
          <w:color w:val="000000" w:themeColor="text1"/>
        </w:rPr>
        <w:t xml:space="preserve"> the </w:t>
      </w:r>
      <w:r w:rsidRPr="00A35BD5">
        <w:rPr>
          <w:rFonts w:cstheme="minorHAnsi"/>
        </w:rPr>
        <w:t xml:space="preserve">Sendai </w:t>
      </w:r>
      <w:r w:rsidRPr="00A35BD5">
        <w:rPr>
          <w:rFonts w:cstheme="minorHAnsi"/>
        </w:rPr>
        <w:t>F</w:t>
      </w:r>
      <w:r w:rsidRPr="00A35BD5">
        <w:rPr>
          <w:rFonts w:cstheme="minorHAnsi"/>
        </w:rPr>
        <w:t>ramework</w:t>
      </w:r>
      <w:r w:rsidR="0050360D" w:rsidRPr="00A35BD5">
        <w:rPr>
          <w:rFonts w:cstheme="minorHAnsi"/>
        </w:rPr>
        <w:t xml:space="preserve"> for </w:t>
      </w:r>
      <w:r w:rsidR="0050360D" w:rsidRPr="00A35BD5">
        <w:rPr>
          <w:rFonts w:cstheme="minorHAnsi"/>
        </w:rPr>
        <w:t>Disaster Risk Reduction</w:t>
      </w:r>
      <w:r w:rsidR="00A35BD5">
        <w:rPr>
          <w:rFonts w:cstheme="minorHAnsi"/>
        </w:rPr>
        <w:t>;</w:t>
      </w:r>
      <w:r w:rsidR="0050360D" w:rsidRPr="00A35BD5">
        <w:rPr>
          <w:rFonts w:cstheme="minorHAnsi"/>
        </w:rPr>
        <w:t xml:space="preserve"> </w:t>
      </w:r>
      <w:r w:rsidRPr="00A35BD5">
        <w:rPr>
          <w:rFonts w:cstheme="minorHAnsi"/>
        </w:rPr>
        <w:t xml:space="preserve">the </w:t>
      </w:r>
      <w:r w:rsidR="00217FA1" w:rsidRPr="00A35BD5">
        <w:rPr>
          <w:rFonts w:cstheme="minorHAnsi"/>
        </w:rPr>
        <w:t xml:space="preserve">Australian Disability Strategy’s </w:t>
      </w:r>
      <w:r w:rsidRPr="00A35BD5">
        <w:rPr>
          <w:rFonts w:cstheme="minorHAnsi"/>
        </w:rPr>
        <w:t>T</w:t>
      </w:r>
      <w:r w:rsidRPr="00A35BD5">
        <w:rPr>
          <w:rFonts w:cstheme="minorHAnsi"/>
        </w:rPr>
        <w:t xml:space="preserve">argeted </w:t>
      </w:r>
      <w:r w:rsidRPr="00A35BD5">
        <w:rPr>
          <w:rFonts w:cstheme="minorHAnsi"/>
        </w:rPr>
        <w:t>A</w:t>
      </w:r>
      <w:r w:rsidRPr="00A35BD5">
        <w:rPr>
          <w:rFonts w:cstheme="minorHAnsi"/>
        </w:rPr>
        <w:t xml:space="preserve">ction </w:t>
      </w:r>
      <w:r w:rsidRPr="00A35BD5">
        <w:rPr>
          <w:rFonts w:cstheme="minorHAnsi"/>
        </w:rPr>
        <w:t>P</w:t>
      </w:r>
      <w:r w:rsidRPr="00A35BD5">
        <w:rPr>
          <w:rFonts w:cstheme="minorHAnsi"/>
        </w:rPr>
        <w:t xml:space="preserve">lan </w:t>
      </w:r>
      <w:r w:rsidRPr="00A35BD5">
        <w:rPr>
          <w:rFonts w:cstheme="minorHAnsi"/>
        </w:rPr>
        <w:t xml:space="preserve">for </w:t>
      </w:r>
      <w:r w:rsidRPr="00A35BD5">
        <w:rPr>
          <w:rFonts w:cstheme="minorHAnsi"/>
        </w:rPr>
        <w:t>Emergency Management</w:t>
      </w:r>
      <w:r w:rsidR="00A35BD5">
        <w:rPr>
          <w:rFonts w:cstheme="minorHAnsi"/>
        </w:rPr>
        <w:t xml:space="preserve">; </w:t>
      </w:r>
      <w:r w:rsidRPr="00A35BD5">
        <w:rPr>
          <w:rFonts w:cstheme="minorHAnsi"/>
        </w:rPr>
        <w:t>or how t</w:t>
      </w:r>
      <w:r w:rsidRPr="00A35BD5">
        <w:rPr>
          <w:rFonts w:cstheme="minorHAnsi"/>
          <w:color w:val="000000" w:themeColor="text1"/>
        </w:rPr>
        <w:t xml:space="preserve">he Australian Government </w:t>
      </w:r>
      <w:r w:rsidRPr="00A35BD5">
        <w:rPr>
          <w:rFonts w:cstheme="minorHAnsi"/>
          <w:color w:val="000000" w:themeColor="text1"/>
        </w:rPr>
        <w:t xml:space="preserve">otherwise </w:t>
      </w:r>
      <w:r w:rsidRPr="00A35BD5">
        <w:rPr>
          <w:rFonts w:cstheme="minorHAnsi"/>
          <w:color w:val="000000" w:themeColor="text1"/>
        </w:rPr>
        <w:t>seeks to address the</w:t>
      </w:r>
      <w:r w:rsidR="00A35BD5">
        <w:rPr>
          <w:rFonts w:cstheme="minorHAnsi"/>
          <w:color w:val="000000" w:themeColor="text1"/>
        </w:rPr>
        <w:t xml:space="preserve"> disproportionate impact of climate change on the human rights of people with disability</w:t>
      </w:r>
      <w:r w:rsidR="0060450F" w:rsidRPr="00A35BD5">
        <w:rPr>
          <w:rFonts w:cstheme="minorHAnsi"/>
          <w:color w:val="000000" w:themeColor="text1"/>
        </w:rPr>
        <w:t>,</w:t>
      </w:r>
      <w:r w:rsidRPr="00A35BD5">
        <w:rPr>
          <w:rFonts w:cstheme="minorHAnsi"/>
          <w:vertAlign w:val="superscript"/>
        </w:rPr>
        <w:endnoteReference w:id="7"/>
      </w:r>
      <w:r w:rsidR="0060450F" w:rsidRPr="00A35BD5">
        <w:rPr>
          <w:rFonts w:cstheme="minorHAnsi"/>
          <w:color w:val="000000" w:themeColor="text1"/>
        </w:rPr>
        <w:t xml:space="preserve"> per the</w:t>
      </w:r>
      <w:r w:rsidR="00635163">
        <w:rPr>
          <w:rFonts w:cstheme="minorHAnsi"/>
          <w:color w:val="000000" w:themeColor="text1"/>
        </w:rPr>
        <w:t xml:space="preserve"> </w:t>
      </w:r>
      <w:r w:rsidR="00635163" w:rsidRPr="00A35BD5">
        <w:rPr>
          <w:rFonts w:cstheme="minorHAnsi"/>
        </w:rPr>
        <w:t>2019 Concluding Observations</w:t>
      </w:r>
      <w:r w:rsidR="00635163">
        <w:rPr>
          <w:rFonts w:cstheme="minorHAnsi"/>
        </w:rPr>
        <w:t xml:space="preserve"> of the</w:t>
      </w:r>
      <w:r w:rsidR="0060450F" w:rsidRPr="00A35BD5">
        <w:rPr>
          <w:rFonts w:cstheme="minorHAnsi"/>
          <w:color w:val="000000" w:themeColor="text1"/>
        </w:rPr>
        <w:t xml:space="preserve"> Committee on the Rights of Persons with Disabilities</w:t>
      </w:r>
      <w:r w:rsidR="0060450F" w:rsidRPr="00A35BD5">
        <w:rPr>
          <w:rFonts w:cstheme="minorHAnsi"/>
        </w:rPr>
        <w:t>.</w:t>
      </w:r>
      <w:r w:rsidR="0060450F" w:rsidRPr="00A35BD5">
        <w:rPr>
          <w:rStyle w:val="EndnoteReference"/>
          <w:rFonts w:cstheme="minorHAnsi"/>
        </w:rPr>
        <w:endnoteReference w:id="8"/>
      </w:r>
      <w:r w:rsidR="0060450F" w:rsidRPr="00A35BD5">
        <w:rPr>
          <w:rFonts w:cstheme="minorHAnsi"/>
        </w:rPr>
        <w:t xml:space="preserve"> </w:t>
      </w:r>
      <w:r w:rsidRPr="00A35BD5">
        <w:rPr>
          <w:rFonts w:cstheme="minorHAnsi"/>
          <w:color w:val="000000" w:themeColor="text1"/>
        </w:rPr>
        <w:t xml:space="preserve">Similarly, WWDA is concerned that the Draft Report’s address of COVID-19 does not outline a clear </w:t>
      </w:r>
      <w:r w:rsidR="00A35BD5">
        <w:rPr>
          <w:rFonts w:cstheme="minorHAnsi"/>
          <w:color w:val="000000" w:themeColor="text1"/>
        </w:rPr>
        <w:t>and</w:t>
      </w:r>
      <w:r w:rsidRPr="00A35BD5">
        <w:rPr>
          <w:rFonts w:cstheme="minorHAnsi"/>
          <w:color w:val="000000" w:themeColor="text1"/>
        </w:rPr>
        <w:t xml:space="preserve"> continued </w:t>
      </w:r>
      <w:r w:rsidR="00A35BD5">
        <w:rPr>
          <w:rFonts w:cstheme="minorHAnsi"/>
          <w:color w:val="000000" w:themeColor="text1"/>
        </w:rPr>
        <w:t xml:space="preserve">national </w:t>
      </w:r>
      <w:r w:rsidRPr="00A35BD5">
        <w:rPr>
          <w:rFonts w:cstheme="minorHAnsi"/>
          <w:color w:val="000000" w:themeColor="text1"/>
        </w:rPr>
        <w:t>focus on the transmission of COVID-19,</w:t>
      </w:r>
      <w:r w:rsidR="0060450F" w:rsidRPr="00A35BD5">
        <w:rPr>
          <w:rStyle w:val="EndnoteReference"/>
          <w:rFonts w:cstheme="minorHAnsi"/>
          <w:color w:val="000000" w:themeColor="text1"/>
        </w:rPr>
        <w:endnoteReference w:id="9"/>
      </w:r>
      <w:r w:rsidRPr="00A35BD5">
        <w:rPr>
          <w:rFonts w:cstheme="minorHAnsi"/>
          <w:color w:val="000000" w:themeColor="text1"/>
        </w:rPr>
        <w:t xml:space="preserve"> </w:t>
      </w:r>
      <w:r w:rsidR="00635163">
        <w:rPr>
          <w:rFonts w:cstheme="minorHAnsi"/>
          <w:color w:val="000000" w:themeColor="text1"/>
        </w:rPr>
        <w:t>despite</w:t>
      </w:r>
      <w:r w:rsidRPr="00A35BD5">
        <w:rPr>
          <w:rFonts w:cstheme="minorHAnsi"/>
          <w:color w:val="000000" w:themeColor="text1"/>
        </w:rPr>
        <w:t xml:space="preserve"> this remain</w:t>
      </w:r>
      <w:r w:rsidR="00635163">
        <w:rPr>
          <w:rFonts w:cstheme="minorHAnsi"/>
          <w:color w:val="000000" w:themeColor="text1"/>
        </w:rPr>
        <w:t>ing</w:t>
      </w:r>
      <w:r w:rsidRPr="00A35BD5">
        <w:rPr>
          <w:rFonts w:cstheme="minorHAnsi"/>
          <w:color w:val="000000" w:themeColor="text1"/>
        </w:rPr>
        <w:t xml:space="preserve"> a significant issue for people with disability.</w:t>
      </w:r>
    </w:p>
    <w:p w14:paraId="3D3206D1" w14:textId="2D874270" w:rsidR="00C71435" w:rsidRDefault="005B3FB2" w:rsidP="00874565">
      <w:pPr>
        <w:ind w:left="0" w:firstLine="0"/>
        <w:rPr>
          <w:rFonts w:ascii="Calibri" w:hAnsi="Calibri" w:cs="Calibri"/>
          <w:b/>
          <w:bCs/>
          <w:color w:val="AC1F79"/>
          <w:sz w:val="28"/>
          <w:szCs w:val="28"/>
          <w:lang w:val="en-GB"/>
        </w:rPr>
      </w:pPr>
      <w:r>
        <w:rPr>
          <w:rFonts w:ascii="Calibri" w:hAnsi="Calibri" w:cs="Calibri"/>
          <w:b/>
          <w:bCs/>
          <w:color w:val="AC1F79"/>
          <w:sz w:val="28"/>
          <w:szCs w:val="28"/>
          <w:lang w:val="en-GB"/>
        </w:rPr>
        <w:t xml:space="preserve">PART II - </w:t>
      </w:r>
      <w:r w:rsidR="00C71435" w:rsidRPr="00C71435">
        <w:rPr>
          <w:rFonts w:ascii="Calibri" w:hAnsi="Calibri" w:cs="Calibri"/>
          <w:b/>
          <w:bCs/>
          <w:color w:val="AC1F79"/>
          <w:sz w:val="28"/>
          <w:szCs w:val="28"/>
          <w:lang w:val="en-GB"/>
        </w:rPr>
        <w:t xml:space="preserve">Issues relating to the general provisions of the </w:t>
      </w:r>
      <w:proofErr w:type="gramStart"/>
      <w:r w:rsidR="00C71435" w:rsidRPr="00C71435">
        <w:rPr>
          <w:rFonts w:ascii="Calibri" w:hAnsi="Calibri" w:cs="Calibri"/>
          <w:b/>
          <w:bCs/>
          <w:color w:val="AC1F79"/>
          <w:sz w:val="28"/>
          <w:szCs w:val="28"/>
          <w:lang w:val="en-GB"/>
        </w:rPr>
        <w:t>Covenant</w:t>
      </w:r>
      <w:proofErr w:type="gramEnd"/>
      <w:r w:rsidR="00C71435" w:rsidRPr="00C71435">
        <w:rPr>
          <w:rFonts w:ascii="Calibri" w:hAnsi="Calibri" w:cs="Calibri"/>
          <w:b/>
          <w:bCs/>
          <w:color w:val="AC1F79"/>
          <w:sz w:val="28"/>
          <w:szCs w:val="28"/>
          <w:lang w:val="en-GB"/>
        </w:rPr>
        <w:t xml:space="preserve"> </w:t>
      </w:r>
    </w:p>
    <w:p w14:paraId="0869B67A" w14:textId="1EC48D92" w:rsidR="0074313D" w:rsidRDefault="0074313D" w:rsidP="0074313D">
      <w:pPr>
        <w:pStyle w:val="ListParagraph"/>
        <w:numPr>
          <w:ilvl w:val="0"/>
          <w:numId w:val="24"/>
        </w:numPr>
        <w:spacing w:before="100" w:beforeAutospacing="1" w:afterAutospacing="1" w:line="276" w:lineRule="auto"/>
        <w:contextualSpacing w:val="0"/>
        <w:rPr>
          <w:rFonts w:ascii="Calibri" w:hAnsi="Calibri" w:cs="Calibri"/>
          <w:color w:val="000000" w:themeColor="text1"/>
        </w:rPr>
      </w:pPr>
      <w:r>
        <w:rPr>
          <w:rFonts w:ascii="Calibri" w:hAnsi="Calibri" w:cs="Calibri"/>
          <w:color w:val="000000" w:themeColor="text1"/>
        </w:rPr>
        <w:t xml:space="preserve">In relation to the Australian Government’s efforts to address poverty, WWDA seeks clarification as to when the Government will implement the recommendations of the CESCR and a number of other </w:t>
      </w:r>
      <w:proofErr w:type="gramStart"/>
      <w:r>
        <w:rPr>
          <w:rFonts w:ascii="Calibri" w:hAnsi="Calibri" w:cs="Calibri"/>
          <w:color w:val="000000" w:themeColor="text1"/>
        </w:rPr>
        <w:t>treaty</w:t>
      </w:r>
      <w:proofErr w:type="gramEnd"/>
      <w:r>
        <w:rPr>
          <w:rFonts w:ascii="Calibri" w:hAnsi="Calibri" w:cs="Calibri"/>
          <w:color w:val="000000" w:themeColor="text1"/>
        </w:rPr>
        <w:t xml:space="preserve"> monitoring bodies in relation to a national poverty strategy and identifying an official poverty line.</w:t>
      </w:r>
      <w:r>
        <w:rPr>
          <w:rStyle w:val="EndnoteReference"/>
          <w:rFonts w:ascii="Calibri" w:hAnsi="Calibri" w:cs="Calibri"/>
          <w:color w:val="000000" w:themeColor="text1"/>
        </w:rPr>
        <w:endnoteReference w:id="10"/>
      </w:r>
      <w:r w:rsidR="005B3FB2">
        <w:rPr>
          <w:rFonts w:ascii="Calibri" w:hAnsi="Calibri" w:cs="Calibri"/>
          <w:color w:val="000000" w:themeColor="text1"/>
        </w:rPr>
        <w:br/>
      </w:r>
    </w:p>
    <w:p w14:paraId="5EB27451" w14:textId="46824230" w:rsidR="00AA69E7" w:rsidRPr="00AA69E7" w:rsidRDefault="0077716D" w:rsidP="0074313D">
      <w:pPr>
        <w:pStyle w:val="ListParagraph"/>
        <w:numPr>
          <w:ilvl w:val="0"/>
          <w:numId w:val="24"/>
        </w:numPr>
        <w:spacing w:before="100" w:beforeAutospacing="1" w:afterAutospacing="1" w:line="276" w:lineRule="auto"/>
        <w:contextualSpacing w:val="0"/>
        <w:rPr>
          <w:rFonts w:cstheme="minorHAnsi"/>
          <w:color w:val="000000" w:themeColor="text1"/>
        </w:rPr>
      </w:pPr>
      <w:r w:rsidRPr="0074313D">
        <w:rPr>
          <w:rFonts w:cstheme="minorHAnsi"/>
        </w:rPr>
        <w:t xml:space="preserve">WWDA is </w:t>
      </w:r>
      <w:r w:rsidR="0074313D" w:rsidRPr="0074313D">
        <w:rPr>
          <w:rFonts w:cstheme="minorHAnsi"/>
        </w:rPr>
        <w:t xml:space="preserve">also </w:t>
      </w:r>
      <w:r w:rsidRPr="0074313D">
        <w:rPr>
          <w:rFonts w:cstheme="minorHAnsi"/>
        </w:rPr>
        <w:t xml:space="preserve">concerned that the </w:t>
      </w:r>
      <w:r w:rsidR="0074313D" w:rsidRPr="0074313D">
        <w:rPr>
          <w:rFonts w:cstheme="minorHAnsi"/>
        </w:rPr>
        <w:t xml:space="preserve">Draft </w:t>
      </w:r>
      <w:r w:rsidRPr="0074313D">
        <w:rPr>
          <w:rFonts w:cstheme="minorHAnsi"/>
        </w:rPr>
        <w:t>Report does not detail steps taken to address protection gaps in the anti-discrimination frameworks beyond th</w:t>
      </w:r>
      <w:r w:rsidR="00A35BD5">
        <w:rPr>
          <w:rFonts w:cstheme="minorHAnsi"/>
        </w:rPr>
        <w:t xml:space="preserve">e </w:t>
      </w:r>
      <w:r w:rsidRPr="0060450F">
        <w:rPr>
          <w:rFonts w:cstheme="minorHAnsi"/>
          <w:i/>
          <w:iCs/>
        </w:rPr>
        <w:t>Sex Discrimination Act</w:t>
      </w:r>
      <w:r w:rsidR="0074313D" w:rsidRPr="0074313D">
        <w:rPr>
          <w:rFonts w:cstheme="minorHAnsi"/>
        </w:rPr>
        <w:t xml:space="preserve"> </w:t>
      </w:r>
      <w:r w:rsidR="0060450F" w:rsidRPr="0060450F">
        <w:rPr>
          <w:rFonts w:cstheme="minorHAnsi"/>
          <w:i/>
          <w:iCs/>
        </w:rPr>
        <w:t>1984</w:t>
      </w:r>
      <w:r w:rsidR="0060450F">
        <w:rPr>
          <w:rFonts w:cstheme="minorHAnsi"/>
        </w:rPr>
        <w:t xml:space="preserve"> (</w:t>
      </w:r>
      <w:proofErr w:type="spellStart"/>
      <w:r w:rsidR="0060450F">
        <w:rPr>
          <w:rFonts w:cstheme="minorHAnsi"/>
        </w:rPr>
        <w:t>Cth</w:t>
      </w:r>
      <w:proofErr w:type="spellEnd"/>
      <w:r w:rsidR="0060450F">
        <w:rPr>
          <w:rFonts w:cstheme="minorHAnsi"/>
        </w:rPr>
        <w:t xml:space="preserve">) </w:t>
      </w:r>
      <w:r w:rsidR="0074313D" w:rsidRPr="0074313D">
        <w:rPr>
          <w:rFonts w:cstheme="minorHAnsi"/>
        </w:rPr>
        <w:t xml:space="preserve">and the </w:t>
      </w:r>
      <w:proofErr w:type="spellStart"/>
      <w:r w:rsidR="0074313D" w:rsidRPr="0074313D">
        <w:rPr>
          <w:rFonts w:cstheme="minorHAnsi"/>
        </w:rPr>
        <w:t>Respect@Work</w:t>
      </w:r>
      <w:proofErr w:type="spellEnd"/>
      <w:r w:rsidR="0074313D" w:rsidRPr="0074313D">
        <w:rPr>
          <w:rFonts w:cstheme="minorHAnsi"/>
        </w:rPr>
        <w:t xml:space="preserve"> reforms.</w:t>
      </w:r>
      <w:r w:rsidR="0060450F">
        <w:rPr>
          <w:rStyle w:val="EndnoteReference"/>
          <w:rFonts w:cstheme="minorHAnsi"/>
        </w:rPr>
        <w:endnoteReference w:id="11"/>
      </w:r>
      <w:r w:rsidR="00A35BD5">
        <w:rPr>
          <w:rFonts w:cstheme="minorHAnsi"/>
        </w:rPr>
        <w:t xml:space="preserve"> </w:t>
      </w:r>
      <w:r w:rsidR="007A7AC2">
        <w:rPr>
          <w:rFonts w:cstheme="minorHAnsi"/>
        </w:rPr>
        <w:br/>
      </w:r>
    </w:p>
    <w:p w14:paraId="203DD2B8" w14:textId="2A968EB5" w:rsidR="00AA69E7" w:rsidRPr="0079107D" w:rsidRDefault="0074313D" w:rsidP="0074313D">
      <w:pPr>
        <w:pStyle w:val="ListParagraph"/>
        <w:numPr>
          <w:ilvl w:val="0"/>
          <w:numId w:val="24"/>
        </w:numPr>
        <w:spacing w:before="100" w:beforeAutospacing="1" w:afterAutospacing="1" w:line="276" w:lineRule="auto"/>
        <w:contextualSpacing w:val="0"/>
        <w:rPr>
          <w:rFonts w:ascii="Calibri" w:eastAsiaTheme="minorHAnsi" w:hAnsi="Calibri" w:cs="Calibri"/>
          <w:kern w:val="2"/>
          <w14:ligatures w14:val="standardContextual"/>
        </w:rPr>
      </w:pPr>
      <w:r w:rsidRPr="005B3FB2">
        <w:rPr>
          <w:rFonts w:ascii="Calibri" w:hAnsi="Calibri" w:cs="Calibri"/>
        </w:rPr>
        <w:t xml:space="preserve">WWDA acknowledges the strategies implemented by the Government </w:t>
      </w:r>
      <w:r w:rsidR="00635163">
        <w:rPr>
          <w:rFonts w:ascii="Calibri" w:hAnsi="Calibri" w:cs="Calibri"/>
        </w:rPr>
        <w:t xml:space="preserve">to realise </w:t>
      </w:r>
      <w:r w:rsidRPr="005B3FB2">
        <w:rPr>
          <w:rFonts w:ascii="Calibri" w:hAnsi="Calibri" w:cs="Calibri"/>
        </w:rPr>
        <w:t xml:space="preserve">the rights of </w:t>
      </w:r>
      <w:r w:rsidR="00635163">
        <w:rPr>
          <w:rFonts w:ascii="Calibri" w:hAnsi="Calibri" w:cs="Calibri"/>
        </w:rPr>
        <w:t xml:space="preserve">people with </w:t>
      </w:r>
      <w:proofErr w:type="gramStart"/>
      <w:r w:rsidR="00635163">
        <w:rPr>
          <w:rFonts w:ascii="Calibri" w:hAnsi="Calibri" w:cs="Calibri"/>
        </w:rPr>
        <w:t>disability</w:t>
      </w:r>
      <w:r w:rsidRPr="005B3FB2">
        <w:rPr>
          <w:rFonts w:ascii="Calibri" w:hAnsi="Calibri" w:cs="Calibri"/>
        </w:rPr>
        <w:t xml:space="preserve">, </w:t>
      </w:r>
      <w:r w:rsidR="00635163">
        <w:rPr>
          <w:rFonts w:ascii="Calibri" w:hAnsi="Calibri" w:cs="Calibri"/>
        </w:rPr>
        <w:t>but</w:t>
      </w:r>
      <w:proofErr w:type="gramEnd"/>
      <w:r w:rsidR="00635163">
        <w:rPr>
          <w:rFonts w:ascii="Calibri" w:hAnsi="Calibri" w:cs="Calibri"/>
        </w:rPr>
        <w:t xml:space="preserve"> is </w:t>
      </w:r>
      <w:r w:rsidRPr="005B3FB2">
        <w:rPr>
          <w:rFonts w:ascii="Calibri" w:hAnsi="Calibri" w:cs="Calibri"/>
        </w:rPr>
        <w:t xml:space="preserve">deeply concerned that the Draft Report does not adequately engage with </w:t>
      </w:r>
      <w:r w:rsidRPr="005B3FB2">
        <w:rPr>
          <w:rFonts w:ascii="Calibri" w:eastAsiaTheme="minorHAnsi" w:hAnsi="Calibri" w:cs="Calibri"/>
          <w:kern w:val="2"/>
          <w14:ligatures w14:val="standardContextual"/>
        </w:rPr>
        <w:t>the issues identified by the Committee. For example, in relation to the National Disability</w:t>
      </w:r>
      <w:r w:rsidR="00A35BD5">
        <w:rPr>
          <w:rFonts w:ascii="Calibri" w:eastAsiaTheme="minorHAnsi" w:hAnsi="Calibri" w:cs="Calibri"/>
          <w:kern w:val="2"/>
          <w14:ligatures w14:val="standardContextual"/>
        </w:rPr>
        <w:t xml:space="preserve"> Insurance</w:t>
      </w:r>
      <w:r w:rsidRPr="005B3FB2">
        <w:rPr>
          <w:rFonts w:ascii="Calibri" w:eastAsiaTheme="minorHAnsi" w:hAnsi="Calibri" w:cs="Calibri"/>
          <w:kern w:val="2"/>
          <w14:ligatures w14:val="standardContextual"/>
        </w:rPr>
        <w:t xml:space="preserve"> Scheme, </w:t>
      </w:r>
      <w:r w:rsidR="00AA69E7" w:rsidRPr="005B3FB2">
        <w:rPr>
          <w:rFonts w:ascii="Calibri" w:eastAsiaTheme="minorHAnsi" w:hAnsi="Calibri" w:cs="Calibri"/>
          <w:kern w:val="2"/>
          <w14:ligatures w14:val="standardContextual"/>
        </w:rPr>
        <w:t xml:space="preserve">we note that no </w:t>
      </w:r>
      <w:r w:rsidR="00AA69E7" w:rsidRPr="0079107D">
        <w:rPr>
          <w:rFonts w:ascii="Calibri" w:eastAsiaTheme="minorHAnsi" w:hAnsi="Calibri" w:cs="Calibri"/>
          <w:kern w:val="2"/>
          <w14:ligatures w14:val="standardContextual"/>
        </w:rPr>
        <w:t>progress has been made towards improving the inclusion of women and girls with disability, who remain under-represented as participants within the Scheme. Further</w:t>
      </w:r>
      <w:r w:rsidR="00A35BD5" w:rsidRPr="0079107D">
        <w:rPr>
          <w:rFonts w:ascii="Calibri" w:eastAsiaTheme="minorHAnsi" w:hAnsi="Calibri" w:cs="Calibri"/>
          <w:kern w:val="2"/>
          <w14:ligatures w14:val="standardContextual"/>
        </w:rPr>
        <w:t xml:space="preserve">, </w:t>
      </w:r>
      <w:r w:rsidR="00AA69E7" w:rsidRPr="0079107D">
        <w:rPr>
          <w:rFonts w:ascii="Calibri" w:eastAsiaTheme="minorHAnsi" w:hAnsi="Calibri" w:cs="Calibri"/>
          <w:kern w:val="2"/>
          <w14:ligatures w14:val="standardContextual"/>
        </w:rPr>
        <w:t xml:space="preserve">we object to the use of the term </w:t>
      </w:r>
      <w:r w:rsidR="00A35BD5" w:rsidRPr="0079107D">
        <w:rPr>
          <w:rFonts w:ascii="Calibri" w:eastAsiaTheme="minorHAnsi" w:hAnsi="Calibri" w:cs="Calibri"/>
          <w:kern w:val="2"/>
          <w14:ligatures w14:val="standardContextual"/>
        </w:rPr>
        <w:t>‘</w:t>
      </w:r>
      <w:r w:rsidR="00AA69E7" w:rsidRPr="0079107D">
        <w:rPr>
          <w:rFonts w:ascii="Calibri" w:eastAsiaTheme="minorHAnsi" w:hAnsi="Calibri" w:cs="Calibri"/>
          <w:kern w:val="2"/>
          <w14:ligatures w14:val="standardContextual"/>
        </w:rPr>
        <w:t>profound disability</w:t>
      </w:r>
      <w:r w:rsidR="00A35BD5" w:rsidRPr="0079107D">
        <w:rPr>
          <w:rFonts w:ascii="Calibri" w:eastAsiaTheme="minorHAnsi" w:hAnsi="Calibri" w:cs="Calibri"/>
          <w:kern w:val="2"/>
          <w14:ligatures w14:val="standardContextual"/>
        </w:rPr>
        <w:t>’,</w:t>
      </w:r>
      <w:r w:rsidR="00A35BD5" w:rsidRPr="0079107D">
        <w:rPr>
          <w:rStyle w:val="EndnoteReference"/>
          <w:rFonts w:ascii="Calibri" w:eastAsiaTheme="minorHAnsi" w:hAnsi="Calibri" w:cs="Calibri"/>
          <w:kern w:val="2"/>
          <w14:ligatures w14:val="standardContextual"/>
        </w:rPr>
        <w:endnoteReference w:id="12"/>
      </w:r>
      <w:r w:rsidR="00AA69E7" w:rsidRPr="0079107D">
        <w:rPr>
          <w:rFonts w:ascii="Calibri" w:eastAsiaTheme="minorHAnsi" w:hAnsi="Calibri" w:cs="Calibri"/>
          <w:kern w:val="2"/>
          <w14:ligatures w14:val="standardContextual"/>
        </w:rPr>
        <w:t xml:space="preserve"> which is underpinned </w:t>
      </w:r>
      <w:r w:rsidR="00A35BD5" w:rsidRPr="0079107D">
        <w:rPr>
          <w:rFonts w:ascii="Calibri" w:eastAsiaTheme="minorHAnsi" w:hAnsi="Calibri" w:cs="Calibri"/>
          <w:kern w:val="2"/>
          <w14:ligatures w14:val="standardContextual"/>
        </w:rPr>
        <w:t xml:space="preserve">the deficit model of disability. </w:t>
      </w:r>
      <w:r w:rsidR="00A35BD5" w:rsidRPr="0079107D">
        <w:rPr>
          <w:rFonts w:ascii="Calibri" w:eastAsiaTheme="minorHAnsi" w:hAnsi="Calibri" w:cs="Calibri"/>
          <w:kern w:val="2"/>
          <w14:ligatures w14:val="standardContextual"/>
        </w:rPr>
        <w:br/>
      </w:r>
    </w:p>
    <w:p w14:paraId="55C33685" w14:textId="0062A5FA" w:rsidR="00AA69E7" w:rsidRPr="0079107D" w:rsidRDefault="00AA69E7" w:rsidP="00FE31FE">
      <w:pPr>
        <w:pStyle w:val="ListParagraph"/>
        <w:numPr>
          <w:ilvl w:val="0"/>
          <w:numId w:val="24"/>
        </w:numPr>
        <w:spacing w:before="100" w:beforeAutospacing="1" w:afterAutospacing="1" w:line="276" w:lineRule="auto"/>
        <w:contextualSpacing w:val="0"/>
        <w:rPr>
          <w:rFonts w:eastAsiaTheme="minorHAnsi"/>
          <w:kern w:val="2"/>
          <w14:ligatures w14:val="standardContextual"/>
        </w:rPr>
      </w:pPr>
      <w:r w:rsidRPr="0079107D">
        <w:rPr>
          <w:rFonts w:ascii="Calibri" w:eastAsiaTheme="minorHAnsi" w:hAnsi="Calibri" w:cs="Calibri"/>
          <w:kern w:val="2"/>
          <w14:ligatures w14:val="standardContextual"/>
        </w:rPr>
        <w:t xml:space="preserve">In relation to employment, we are concerned that the Government has not acknowledged the </w:t>
      </w:r>
      <w:r w:rsidR="0079107D">
        <w:rPr>
          <w:rFonts w:ascii="Calibri" w:eastAsiaTheme="minorHAnsi" w:hAnsi="Calibri" w:cs="Calibri"/>
          <w:kern w:val="2"/>
          <w14:ligatures w14:val="standardContextual"/>
        </w:rPr>
        <w:t xml:space="preserve">segregated and </w:t>
      </w:r>
      <w:r w:rsidRPr="0079107D">
        <w:rPr>
          <w:rFonts w:ascii="Calibri" w:eastAsiaTheme="minorHAnsi" w:hAnsi="Calibri" w:cs="Calibri"/>
          <w:kern w:val="2"/>
          <w14:ligatures w14:val="standardContextual"/>
        </w:rPr>
        <w:t>discriminatory nature</w:t>
      </w:r>
      <w:r w:rsidR="0079107D">
        <w:rPr>
          <w:rFonts w:ascii="Calibri" w:eastAsiaTheme="minorHAnsi" w:hAnsi="Calibri" w:cs="Calibri"/>
          <w:kern w:val="2"/>
          <w14:ligatures w14:val="standardContextual"/>
        </w:rPr>
        <w:t xml:space="preserve"> of Australian Disability Enterprises</w:t>
      </w:r>
      <w:r w:rsidR="00A35BD5" w:rsidRPr="0079107D">
        <w:rPr>
          <w:rFonts w:ascii="Calibri" w:eastAsiaTheme="minorHAnsi" w:hAnsi="Calibri" w:cs="Calibri"/>
          <w:kern w:val="2"/>
          <w14:ligatures w14:val="standardContextual"/>
        </w:rPr>
        <w:t>,</w:t>
      </w:r>
      <w:r w:rsidRPr="0079107D">
        <w:rPr>
          <w:rFonts w:ascii="Calibri" w:eastAsiaTheme="minorHAnsi" w:hAnsi="Calibri" w:cs="Calibri"/>
          <w:kern w:val="2"/>
          <w14:ligatures w14:val="standardContextual"/>
        </w:rPr>
        <w:t xml:space="preserve"> nor addressed the </w:t>
      </w:r>
      <w:r w:rsidR="00A35BD5" w:rsidRPr="0079107D">
        <w:rPr>
          <w:rFonts w:ascii="Calibri" w:eastAsiaTheme="minorHAnsi" w:hAnsi="Calibri" w:cs="Calibri"/>
          <w:kern w:val="2"/>
          <w14:ligatures w14:val="standardContextual"/>
        </w:rPr>
        <w:t>C</w:t>
      </w:r>
      <w:r w:rsidRPr="0079107D">
        <w:rPr>
          <w:rFonts w:ascii="Calibri" w:eastAsiaTheme="minorHAnsi" w:hAnsi="Calibri" w:cs="Calibri"/>
          <w:kern w:val="2"/>
          <w14:ligatures w14:val="standardContextual"/>
        </w:rPr>
        <w:t xml:space="preserve">oncluding </w:t>
      </w:r>
      <w:r w:rsidR="00A35BD5" w:rsidRPr="0079107D">
        <w:rPr>
          <w:rFonts w:ascii="Calibri" w:eastAsiaTheme="minorHAnsi" w:hAnsi="Calibri" w:cs="Calibri"/>
          <w:kern w:val="2"/>
          <w14:ligatures w14:val="standardContextual"/>
        </w:rPr>
        <w:t xml:space="preserve">Observations of the Committee on the Rights of Persons with Disabilities </w:t>
      </w:r>
      <w:r w:rsidR="0079107D" w:rsidRPr="0079107D">
        <w:rPr>
          <w:rFonts w:ascii="Calibri" w:eastAsiaTheme="minorHAnsi" w:hAnsi="Calibri" w:cs="Calibri"/>
          <w:kern w:val="2"/>
          <w14:ligatures w14:val="standardContextual"/>
        </w:rPr>
        <w:t>regarding</w:t>
      </w:r>
      <w:r w:rsidR="00A35BD5" w:rsidRPr="0079107D">
        <w:rPr>
          <w:rFonts w:ascii="Calibri" w:eastAsiaTheme="minorHAnsi" w:hAnsi="Calibri" w:cs="Calibri"/>
          <w:kern w:val="2"/>
          <w14:ligatures w14:val="standardContextual"/>
        </w:rPr>
        <w:t xml:space="preserve"> employment.</w:t>
      </w:r>
      <w:r w:rsidR="00A35BD5" w:rsidRPr="0079107D">
        <w:rPr>
          <w:rStyle w:val="EndnoteReference"/>
          <w:rFonts w:ascii="Calibri" w:eastAsiaTheme="minorHAnsi" w:hAnsi="Calibri" w:cs="Calibri"/>
          <w:kern w:val="2"/>
          <w14:ligatures w14:val="standardContextual"/>
        </w:rPr>
        <w:endnoteReference w:id="13"/>
      </w:r>
      <w:r w:rsidRPr="0079107D">
        <w:rPr>
          <w:rFonts w:ascii="Calibri" w:eastAsiaTheme="minorHAnsi" w:hAnsi="Calibri" w:cs="Calibri"/>
          <w:kern w:val="2"/>
          <w14:ligatures w14:val="standardContextual"/>
        </w:rPr>
        <w:t xml:space="preserve"> </w:t>
      </w:r>
      <w:r w:rsidRPr="0079107D">
        <w:rPr>
          <w:rFonts w:ascii="Calibri" w:eastAsiaTheme="minorHAnsi" w:hAnsi="Calibri" w:cs="Calibri"/>
          <w:kern w:val="2"/>
          <w14:ligatures w14:val="standardContextual"/>
        </w:rPr>
        <w:t>We note that</w:t>
      </w:r>
      <w:r w:rsidR="0079107D" w:rsidRPr="0079107D">
        <w:rPr>
          <w:rFonts w:ascii="Calibri" w:hAnsi="Calibri" w:cs="Calibri"/>
        </w:rPr>
        <w:t xml:space="preserve"> </w:t>
      </w:r>
      <w:r w:rsidR="00635163">
        <w:rPr>
          <w:rFonts w:ascii="Calibri" w:hAnsi="Calibri" w:cs="Calibri"/>
        </w:rPr>
        <w:t xml:space="preserve">existing </w:t>
      </w:r>
      <w:r w:rsidR="0079107D" w:rsidRPr="0079107D">
        <w:rPr>
          <w:rFonts w:ascii="Calibri" w:hAnsi="Calibri" w:cs="Calibri"/>
        </w:rPr>
        <w:t>measures to support people with disability in open employment, such as the Employee Assistance Fund, remain inaccessible</w:t>
      </w:r>
      <w:r w:rsidRPr="0079107D">
        <w:rPr>
          <w:rFonts w:ascii="Calibri" w:hAnsi="Calibri" w:cs="Calibri"/>
        </w:rPr>
        <w:t xml:space="preserve">. Finally, we request that data on the rates of </w:t>
      </w:r>
      <w:r w:rsidRPr="0079107D">
        <w:rPr>
          <w:rFonts w:ascii="Calibri" w:hAnsi="Calibri" w:cs="Calibri"/>
        </w:rPr>
        <w:t xml:space="preserve">Australian Public </w:t>
      </w:r>
      <w:r w:rsidRPr="0079107D">
        <w:rPr>
          <w:rFonts w:ascii="Calibri" w:hAnsi="Calibri" w:cs="Calibri"/>
        </w:rPr>
        <w:lastRenderedPageBreak/>
        <w:t>Service employees</w:t>
      </w:r>
      <w:r w:rsidRPr="0079107D">
        <w:rPr>
          <w:rFonts w:ascii="Calibri" w:hAnsi="Calibri" w:cs="Calibri"/>
        </w:rPr>
        <w:t xml:space="preserve"> </w:t>
      </w:r>
      <w:r w:rsidRPr="0079107D">
        <w:rPr>
          <w:rFonts w:ascii="Calibri" w:hAnsi="Calibri" w:cs="Calibri"/>
        </w:rPr>
        <w:t>with disability</w:t>
      </w:r>
      <w:r w:rsidR="00D65823" w:rsidRPr="0079107D">
        <w:rPr>
          <w:rFonts w:ascii="Calibri" w:hAnsi="Calibri" w:cs="Calibri"/>
        </w:rPr>
        <w:t xml:space="preserve"> be reported, </w:t>
      </w:r>
      <w:r w:rsidR="00635163">
        <w:rPr>
          <w:rFonts w:ascii="Calibri" w:hAnsi="Calibri" w:cs="Calibri"/>
        </w:rPr>
        <w:t>noting</w:t>
      </w:r>
      <w:r w:rsidR="00D65823" w:rsidRPr="0079107D">
        <w:rPr>
          <w:rFonts w:ascii="Calibri" w:hAnsi="Calibri" w:cs="Calibri"/>
        </w:rPr>
        <w:t xml:space="preserve"> that the Draft Report </w:t>
      </w:r>
      <w:r w:rsidR="0079107D">
        <w:rPr>
          <w:rFonts w:ascii="Calibri" w:hAnsi="Calibri" w:cs="Calibri"/>
        </w:rPr>
        <w:t xml:space="preserve">provides </w:t>
      </w:r>
      <w:r w:rsidR="00D65823" w:rsidRPr="0079107D">
        <w:rPr>
          <w:rFonts w:ascii="Calibri" w:hAnsi="Calibri" w:cs="Calibri"/>
        </w:rPr>
        <w:t xml:space="preserve">current workforce composition data </w:t>
      </w:r>
      <w:r w:rsidR="00D65823" w:rsidRPr="0079107D">
        <w:rPr>
          <w:rFonts w:ascii="Calibri" w:eastAsiaTheme="minorHAnsi" w:hAnsi="Calibri" w:cs="Calibri"/>
          <w:kern w:val="2"/>
          <w14:ligatures w14:val="standardContextual"/>
        </w:rPr>
        <w:t xml:space="preserve">in relation to gender, but </w:t>
      </w:r>
      <w:r w:rsidR="0079107D">
        <w:rPr>
          <w:rFonts w:ascii="Calibri" w:eastAsiaTheme="minorHAnsi" w:hAnsi="Calibri" w:cs="Calibri"/>
          <w:kern w:val="2"/>
          <w14:ligatures w14:val="standardContextual"/>
        </w:rPr>
        <w:t xml:space="preserve">not </w:t>
      </w:r>
      <w:r w:rsidR="00D65823" w:rsidRPr="0079107D">
        <w:rPr>
          <w:rFonts w:ascii="Calibri" w:eastAsiaTheme="minorHAnsi" w:hAnsi="Calibri" w:cs="Calibri"/>
          <w:kern w:val="2"/>
          <w14:ligatures w14:val="standardContextual"/>
        </w:rPr>
        <w:t>disability.</w:t>
      </w:r>
      <w:r w:rsidR="0079107D">
        <w:rPr>
          <w:rStyle w:val="EndnoteReference"/>
          <w:rFonts w:ascii="Calibri" w:eastAsiaTheme="minorHAnsi" w:hAnsi="Calibri" w:cs="Calibri"/>
          <w:kern w:val="2"/>
          <w14:ligatures w14:val="standardContextual"/>
        </w:rPr>
        <w:endnoteReference w:id="14"/>
      </w:r>
      <w:r w:rsidR="00D65823" w:rsidRPr="0079107D">
        <w:rPr>
          <w:rFonts w:ascii="Times New Roman" w:eastAsiaTheme="minorHAnsi" w:hAnsi="Times New Roman" w:cs="Times New Roman"/>
          <w:kern w:val="2"/>
          <w:sz w:val="20"/>
          <w:szCs w:val="20"/>
          <w14:ligatures w14:val="standardContextual"/>
        </w:rPr>
        <w:br/>
      </w:r>
    </w:p>
    <w:p w14:paraId="29F10929" w14:textId="311D8A14" w:rsidR="005B3FB2" w:rsidRPr="005B3FB2" w:rsidRDefault="00D65823" w:rsidP="00291F91">
      <w:pPr>
        <w:pStyle w:val="ListParagraph"/>
        <w:numPr>
          <w:ilvl w:val="0"/>
          <w:numId w:val="24"/>
        </w:numPr>
        <w:spacing w:before="100" w:beforeAutospacing="1" w:afterAutospacing="1" w:line="276" w:lineRule="auto"/>
        <w:contextualSpacing w:val="0"/>
        <w:rPr>
          <w:rFonts w:ascii="Calibri" w:eastAsiaTheme="minorHAnsi" w:hAnsi="Calibri" w:cs="Calibri"/>
          <w:kern w:val="2"/>
          <w14:ligatures w14:val="standardContextual"/>
        </w:rPr>
      </w:pPr>
      <w:r w:rsidRPr="005B3FB2">
        <w:rPr>
          <w:rFonts w:ascii="Calibri" w:eastAsiaTheme="minorHAnsi" w:hAnsi="Calibri" w:cs="Calibri"/>
          <w:kern w:val="2"/>
          <w14:ligatures w14:val="standardContextual"/>
        </w:rPr>
        <w:t xml:space="preserve">The most concerning aspect of the Draft Report, however, is the Government’s failure to </w:t>
      </w:r>
      <w:r w:rsidRPr="005B3FB2">
        <w:rPr>
          <w:rFonts w:ascii="Calibri" w:hAnsi="Calibri" w:cs="Calibri"/>
          <w:lang w:val="en-GB"/>
        </w:rPr>
        <w:t xml:space="preserve">report on </w:t>
      </w:r>
      <w:r w:rsidR="0079107D">
        <w:rPr>
          <w:rFonts w:ascii="Calibri" w:hAnsi="Calibri" w:cs="Calibri"/>
          <w:lang w:val="en-GB"/>
        </w:rPr>
        <w:t>any</w:t>
      </w:r>
      <w:r w:rsidRPr="005B3FB2">
        <w:rPr>
          <w:rFonts w:ascii="Calibri" w:hAnsi="Calibri" w:cs="Calibri"/>
          <w:lang w:val="en-GB"/>
        </w:rPr>
        <w:t xml:space="preserve"> steps taken to </w:t>
      </w:r>
      <w:r w:rsidRPr="005B3FB2">
        <w:rPr>
          <w:rFonts w:ascii="Calibri" w:hAnsi="Calibri" w:cs="Calibri"/>
          <w:lang w:val="en-GB"/>
        </w:rPr>
        <w:t>prohibit</w:t>
      </w:r>
      <w:r w:rsidRPr="005B3FB2">
        <w:rPr>
          <w:rFonts w:ascii="Calibri" w:hAnsi="Calibri" w:cs="Calibri"/>
          <w:lang w:val="en-GB"/>
        </w:rPr>
        <w:t xml:space="preserve"> </w:t>
      </w:r>
      <w:r w:rsidRPr="005B3FB2">
        <w:rPr>
          <w:rFonts w:ascii="Calibri" w:hAnsi="Calibri" w:cs="Calibri"/>
          <w:lang w:val="en-GB"/>
        </w:rPr>
        <w:t>f</w:t>
      </w:r>
      <w:r w:rsidRPr="005B3FB2">
        <w:rPr>
          <w:rFonts w:ascii="Calibri" w:hAnsi="Calibri" w:cs="Calibri"/>
          <w:lang w:val="en-GB"/>
        </w:rPr>
        <w:t>orced sterili</w:t>
      </w:r>
      <w:r w:rsidRPr="005B3FB2">
        <w:rPr>
          <w:rFonts w:ascii="Calibri" w:hAnsi="Calibri" w:cs="Calibri"/>
          <w:lang w:val="en-GB"/>
        </w:rPr>
        <w:t>s</w:t>
      </w:r>
      <w:r w:rsidRPr="005B3FB2">
        <w:rPr>
          <w:rFonts w:ascii="Calibri" w:hAnsi="Calibri" w:cs="Calibri"/>
          <w:lang w:val="en-GB"/>
        </w:rPr>
        <w:t>ation.</w:t>
      </w:r>
      <w:r w:rsidR="0079107D">
        <w:rPr>
          <w:rStyle w:val="EndnoteReference"/>
          <w:rFonts w:ascii="Calibri" w:hAnsi="Calibri" w:cs="Calibri"/>
          <w:lang w:val="en-GB"/>
        </w:rPr>
        <w:endnoteReference w:id="15"/>
      </w:r>
      <w:r w:rsidRPr="005B3FB2">
        <w:rPr>
          <w:rFonts w:ascii="Calibri" w:hAnsi="Calibri" w:cs="Calibri"/>
          <w:lang w:val="en-GB"/>
        </w:rPr>
        <w:t xml:space="preserve"> </w:t>
      </w:r>
      <w:r w:rsidRPr="005B3FB2">
        <w:rPr>
          <w:rFonts w:ascii="Calibri" w:hAnsi="Calibri" w:cs="Calibri"/>
        </w:rPr>
        <w:t>Forced sterilisation</w:t>
      </w:r>
      <w:r w:rsidRPr="005B3FB2">
        <w:rPr>
          <w:rFonts w:ascii="Calibri" w:hAnsi="Calibri" w:cs="Calibri"/>
        </w:rPr>
        <w:t xml:space="preserve"> </w:t>
      </w:r>
      <w:r w:rsidRPr="005B3FB2">
        <w:rPr>
          <w:rFonts w:ascii="Calibri" w:hAnsi="Calibri" w:cs="Calibri"/>
        </w:rPr>
        <w:t>of people with disability</w:t>
      </w:r>
      <w:r w:rsidRPr="005B3FB2">
        <w:rPr>
          <w:rFonts w:ascii="Calibri" w:hAnsi="Calibri" w:cs="Calibri"/>
        </w:rPr>
        <w:t xml:space="preserve"> </w:t>
      </w:r>
      <w:r w:rsidRPr="005B3FB2">
        <w:rPr>
          <w:rFonts w:ascii="Calibri" w:hAnsi="Calibri" w:cs="Calibri"/>
        </w:rPr>
        <w:t>remains legal and sanctioned by Australian Governments</w:t>
      </w:r>
      <w:r w:rsidR="00635163" w:rsidRPr="005B3FB2">
        <w:rPr>
          <w:rFonts w:ascii="Calibri" w:hAnsi="Calibri" w:cs="Calibri"/>
        </w:rPr>
        <w:t xml:space="preserve"> </w:t>
      </w:r>
      <w:r w:rsidRPr="005B3FB2">
        <w:rPr>
          <w:rFonts w:ascii="Calibri" w:hAnsi="Calibri" w:cs="Calibri"/>
        </w:rPr>
        <w:t>despite being recognised as</w:t>
      </w:r>
      <w:r w:rsidR="000C7C8C" w:rsidRPr="005B3FB2">
        <w:rPr>
          <w:rFonts w:ascii="Calibri" w:eastAsia="Times New Roman" w:hAnsi="Calibri" w:cs="Calibri"/>
          <w:color w:val="000000"/>
          <w:kern w:val="28"/>
          <w:lang w:eastAsia="en-AU"/>
        </w:rPr>
        <w:t xml:space="preserve"> an act of violence, a form of social control</w:t>
      </w:r>
      <w:r w:rsidR="0079107D">
        <w:rPr>
          <w:rFonts w:ascii="Calibri" w:eastAsia="Times New Roman" w:hAnsi="Calibri" w:cs="Calibri"/>
          <w:color w:val="000000"/>
          <w:kern w:val="28"/>
          <w:lang w:eastAsia="en-AU"/>
        </w:rPr>
        <w:t xml:space="preserve">, </w:t>
      </w:r>
      <w:r w:rsidR="000C7C8C" w:rsidRPr="005B3FB2">
        <w:rPr>
          <w:rFonts w:ascii="Calibri" w:eastAsia="Times New Roman" w:hAnsi="Calibri" w:cs="Calibri"/>
          <w:color w:val="000000"/>
          <w:kern w:val="28"/>
          <w:lang w:eastAsia="en-AU"/>
        </w:rPr>
        <w:t>and a form of torture by the UN Special Rapporteur on Torture</w:t>
      </w:r>
      <w:r w:rsidR="0079107D">
        <w:rPr>
          <w:rFonts w:ascii="Calibri" w:eastAsia="Times New Roman" w:hAnsi="Calibri" w:cs="Calibri"/>
          <w:color w:val="000000"/>
          <w:kern w:val="28"/>
          <w:lang w:eastAsia="en-AU"/>
        </w:rPr>
        <w:t>.</w:t>
      </w:r>
      <w:r w:rsidR="000C7C8C" w:rsidRPr="005B3FB2">
        <w:rPr>
          <w:rFonts w:ascii="Calibri" w:eastAsia="Times New Roman" w:hAnsi="Calibri" w:cs="Calibri"/>
          <w:color w:val="000000"/>
          <w:kern w:val="28"/>
          <w:vertAlign w:val="superscript"/>
          <w:lang w:eastAsia="en-AU"/>
        </w:rPr>
        <w:endnoteReference w:id="16"/>
      </w:r>
      <w:r w:rsidR="000C7C8C" w:rsidRPr="005B3FB2">
        <w:rPr>
          <w:rFonts w:ascii="Calibri" w:eastAsia="Times New Roman" w:hAnsi="Calibri" w:cs="Calibri"/>
          <w:color w:val="000000"/>
          <w:kern w:val="28"/>
          <w:lang w:eastAsia="en-AU"/>
        </w:rPr>
        <w:t xml:space="preserve"> </w:t>
      </w:r>
      <w:r w:rsidRPr="005B3FB2">
        <w:rPr>
          <w:rFonts w:ascii="Calibri" w:hAnsi="Calibri" w:cs="Calibri"/>
        </w:rPr>
        <w:t>Since 2005, U</w:t>
      </w:r>
      <w:r w:rsidR="0079107D">
        <w:rPr>
          <w:rFonts w:ascii="Calibri" w:hAnsi="Calibri" w:cs="Calibri"/>
        </w:rPr>
        <w:t>nited Nations</w:t>
      </w:r>
      <w:r w:rsidRPr="005B3FB2">
        <w:rPr>
          <w:rFonts w:ascii="Calibri" w:hAnsi="Calibri" w:cs="Calibri"/>
        </w:rPr>
        <w:t xml:space="preserve"> treaty bodies, the Human Rights Council, U</w:t>
      </w:r>
      <w:r w:rsidR="0079107D">
        <w:rPr>
          <w:rFonts w:ascii="Calibri" w:hAnsi="Calibri" w:cs="Calibri"/>
        </w:rPr>
        <w:t xml:space="preserve">nited Nations </w:t>
      </w:r>
      <w:r w:rsidRPr="005B3FB2">
        <w:rPr>
          <w:rFonts w:ascii="Calibri" w:hAnsi="Calibri" w:cs="Calibri"/>
        </w:rPr>
        <w:t>special procedures</w:t>
      </w:r>
      <w:r w:rsidR="0079107D">
        <w:rPr>
          <w:rFonts w:ascii="Calibri" w:hAnsi="Calibri" w:cs="Calibri"/>
        </w:rPr>
        <w:t>,</w:t>
      </w:r>
      <w:r w:rsidRPr="005B3FB2">
        <w:rPr>
          <w:rFonts w:ascii="Calibri" w:hAnsi="Calibri" w:cs="Calibri"/>
        </w:rPr>
        <w:t xml:space="preserve"> and international medical bodies have recommended </w:t>
      </w:r>
      <w:r w:rsidR="0079107D">
        <w:rPr>
          <w:rFonts w:ascii="Calibri" w:hAnsi="Calibri" w:cs="Calibri"/>
        </w:rPr>
        <w:t xml:space="preserve">that </w:t>
      </w:r>
      <w:r w:rsidRPr="005B3FB2">
        <w:rPr>
          <w:rFonts w:ascii="Calibri" w:hAnsi="Calibri" w:cs="Calibri"/>
        </w:rPr>
        <w:t>Australia enact national legislation prohibiting forced sterilisation.</w:t>
      </w:r>
      <w:r w:rsidRPr="005B3FB2">
        <w:rPr>
          <w:rStyle w:val="EndnoteReference"/>
          <w:rFonts w:ascii="Calibri" w:hAnsi="Calibri" w:cs="Calibri"/>
          <w:color w:val="000000" w:themeColor="text1"/>
        </w:rPr>
        <w:endnoteReference w:id="17"/>
      </w:r>
      <w:r w:rsidRPr="005B3FB2">
        <w:rPr>
          <w:rFonts w:ascii="Calibri" w:hAnsi="Calibri" w:cs="Calibri"/>
        </w:rPr>
        <w:t xml:space="preserve"> </w:t>
      </w:r>
      <w:r w:rsidR="000C7C8C" w:rsidRPr="005B3FB2">
        <w:rPr>
          <w:rFonts w:ascii="Calibri" w:eastAsia="Times New Roman" w:hAnsi="Calibri" w:cs="Calibri"/>
          <w:color w:val="000000"/>
          <w:kern w:val="28"/>
          <w:lang w:val="en-GB" w:eastAsia="en-AU"/>
        </w:rPr>
        <w:t xml:space="preserve">However, by its own admission, the Australian Government continues to condone and legitimise this inhuman practice, and the guardianship and substitute decision-making regimes that enable it. </w:t>
      </w:r>
      <w:r w:rsidR="0079107D">
        <w:rPr>
          <w:rFonts w:ascii="Calibri" w:eastAsia="Times New Roman" w:hAnsi="Calibri" w:cs="Calibri"/>
          <w:color w:val="000000"/>
          <w:kern w:val="28"/>
          <w:lang w:val="en-GB" w:eastAsia="en-AU"/>
        </w:rPr>
        <w:t xml:space="preserve">To assist the Government in this regard, we have </w:t>
      </w:r>
      <w:r w:rsidR="00AE4796">
        <w:rPr>
          <w:rFonts w:ascii="Calibri" w:eastAsia="Times New Roman" w:hAnsi="Calibri" w:cs="Calibri"/>
          <w:color w:val="000000"/>
          <w:kern w:val="28"/>
          <w:lang w:val="en-GB" w:eastAsia="en-AU"/>
        </w:rPr>
        <w:t xml:space="preserve">provided a copy of our submission to the </w:t>
      </w:r>
      <w:r w:rsidR="00AE4796">
        <w:t>Royal Commission into Violence, Abuse, Neglect and</w:t>
      </w:r>
      <w:r w:rsidR="00AE4796">
        <w:t xml:space="preserve"> </w:t>
      </w:r>
      <w:r w:rsidR="00AE4796">
        <w:t>Exploitation of People with Disability</w:t>
      </w:r>
      <w:r w:rsidR="00AE4796">
        <w:t xml:space="preserve"> </w:t>
      </w:r>
      <w:r w:rsidR="00AE4796">
        <w:t xml:space="preserve">on </w:t>
      </w:r>
      <w:r w:rsidR="00AE4796">
        <w:t xml:space="preserve">the </w:t>
      </w:r>
      <w:r w:rsidR="00AE4796">
        <w:t>Sexual and</w:t>
      </w:r>
      <w:r w:rsidR="00AE4796">
        <w:t xml:space="preserve"> </w:t>
      </w:r>
      <w:r w:rsidR="00AE4796">
        <w:t>Reproductive Rights</w:t>
      </w:r>
      <w:r w:rsidR="00AE4796">
        <w:t xml:space="preserve"> </w:t>
      </w:r>
      <w:r w:rsidR="00AE4796">
        <w:t>of</w:t>
      </w:r>
      <w:r w:rsidR="00AE4796">
        <w:t xml:space="preserve"> </w:t>
      </w:r>
      <w:r w:rsidR="00AE4796">
        <w:t>Women and Girls with Disability</w:t>
      </w:r>
      <w:r w:rsidR="00AE4796">
        <w:t xml:space="preserve">, alongside this response. </w:t>
      </w:r>
      <w:r w:rsidR="005B3FB2">
        <w:rPr>
          <w:rFonts w:ascii="Calibri" w:eastAsia="Times New Roman" w:hAnsi="Calibri" w:cs="Calibri"/>
          <w:color w:val="000000"/>
          <w:kern w:val="28"/>
          <w:lang w:val="en-GB" w:eastAsia="en-AU"/>
        </w:rPr>
        <w:br/>
      </w:r>
    </w:p>
    <w:p w14:paraId="4143BB37" w14:textId="4E162467" w:rsidR="00D65823" w:rsidRPr="005B3FB2" w:rsidRDefault="005B3FB2" w:rsidP="00291F91">
      <w:pPr>
        <w:pStyle w:val="ListParagraph"/>
        <w:numPr>
          <w:ilvl w:val="0"/>
          <w:numId w:val="24"/>
        </w:numPr>
        <w:spacing w:before="100" w:beforeAutospacing="1" w:afterAutospacing="1" w:line="276" w:lineRule="auto"/>
        <w:contextualSpacing w:val="0"/>
        <w:rPr>
          <w:rFonts w:ascii="Calibri" w:eastAsiaTheme="minorHAnsi" w:hAnsi="Calibri" w:cs="Calibri"/>
          <w:kern w:val="2"/>
          <w14:ligatures w14:val="standardContextual"/>
        </w:rPr>
      </w:pPr>
      <w:r w:rsidRPr="005B3FB2">
        <w:rPr>
          <w:rFonts w:ascii="Calibri" w:eastAsia="Times New Roman" w:hAnsi="Calibri" w:cs="Calibri"/>
          <w:color w:val="000000"/>
          <w:kern w:val="28"/>
          <w:lang w:val="en-GB" w:eastAsia="en-AU"/>
        </w:rPr>
        <w:t>In relation to measures to combat gender-based violence</w:t>
      </w:r>
      <w:r w:rsidR="007E71BA">
        <w:rPr>
          <w:rFonts w:ascii="Calibri" w:eastAsia="Times New Roman" w:hAnsi="Calibri" w:cs="Calibri"/>
          <w:color w:val="000000"/>
          <w:kern w:val="28"/>
          <w:lang w:val="en-GB" w:eastAsia="en-AU"/>
        </w:rPr>
        <w:t>,</w:t>
      </w:r>
      <w:r w:rsidRPr="005B3FB2">
        <w:rPr>
          <w:rFonts w:ascii="Calibri" w:eastAsia="Times New Roman" w:hAnsi="Calibri" w:cs="Calibri"/>
          <w:color w:val="000000"/>
          <w:kern w:val="28"/>
          <w:lang w:val="en-GB" w:eastAsia="en-AU"/>
        </w:rPr>
        <w:t xml:space="preserve"> WWDA </w:t>
      </w:r>
      <w:r w:rsidR="00635163">
        <w:rPr>
          <w:rFonts w:ascii="Calibri" w:eastAsia="Times New Roman" w:hAnsi="Calibri" w:cs="Calibri"/>
          <w:color w:val="000000"/>
          <w:kern w:val="28"/>
          <w:lang w:val="en-GB" w:eastAsia="en-AU"/>
        </w:rPr>
        <w:t>considers</w:t>
      </w:r>
      <w:r w:rsidRPr="005B3FB2">
        <w:rPr>
          <w:rFonts w:ascii="Calibri" w:eastAsia="Times New Roman" w:hAnsi="Calibri" w:cs="Calibri"/>
          <w:color w:val="000000"/>
          <w:kern w:val="28"/>
          <w:lang w:val="en-GB" w:eastAsia="en-AU"/>
        </w:rPr>
        <w:t xml:space="preserve"> that </w:t>
      </w:r>
      <w:r w:rsidR="007E71BA">
        <w:rPr>
          <w:rFonts w:ascii="Calibri" w:eastAsia="Times New Roman" w:hAnsi="Calibri" w:cs="Calibri"/>
          <w:color w:val="000000"/>
          <w:kern w:val="28"/>
          <w:lang w:val="en-GB" w:eastAsia="en-AU"/>
        </w:rPr>
        <w:t xml:space="preserve">the Draft Report </w:t>
      </w:r>
      <w:r w:rsidRPr="005B3FB2">
        <w:rPr>
          <w:rFonts w:ascii="Calibri" w:eastAsia="Times New Roman" w:hAnsi="Calibri" w:cs="Calibri"/>
          <w:color w:val="000000"/>
          <w:kern w:val="28"/>
          <w:lang w:val="en-GB" w:eastAsia="en-AU"/>
        </w:rPr>
        <w:t>does not reflect the breadth of work undertaken in consultation with representative organisations.</w:t>
      </w:r>
      <w:r w:rsidR="00AE4796">
        <w:rPr>
          <w:rStyle w:val="EndnoteReference"/>
          <w:rFonts w:ascii="Calibri" w:eastAsia="Times New Roman" w:hAnsi="Calibri" w:cs="Calibri"/>
          <w:color w:val="000000"/>
          <w:kern w:val="28"/>
          <w:lang w:val="en-GB" w:eastAsia="en-AU"/>
        </w:rPr>
        <w:endnoteReference w:id="18"/>
      </w:r>
      <w:r w:rsidRPr="005B3FB2">
        <w:rPr>
          <w:rFonts w:ascii="Calibri" w:eastAsia="Times New Roman" w:hAnsi="Calibri" w:cs="Calibri"/>
          <w:color w:val="000000"/>
          <w:kern w:val="28"/>
          <w:lang w:val="en-GB" w:eastAsia="en-AU"/>
        </w:rPr>
        <w:t xml:space="preserve"> We recommend that the Department of Foreign Affairs and Trade liaise with </w:t>
      </w:r>
      <w:r w:rsidR="00635163">
        <w:rPr>
          <w:rFonts w:ascii="Calibri" w:eastAsia="Times New Roman" w:hAnsi="Calibri" w:cs="Calibri"/>
          <w:color w:val="000000"/>
          <w:kern w:val="28"/>
          <w:lang w:val="en-GB" w:eastAsia="en-AU"/>
        </w:rPr>
        <w:t xml:space="preserve">the </w:t>
      </w:r>
      <w:r w:rsidR="00635163" w:rsidRPr="005B3FB2">
        <w:rPr>
          <w:rFonts w:ascii="Calibri" w:eastAsia="Times New Roman" w:hAnsi="Calibri" w:cs="Calibri"/>
          <w:color w:val="000000"/>
          <w:kern w:val="28"/>
          <w:lang w:val="en-GB" w:eastAsia="en-AU"/>
        </w:rPr>
        <w:t xml:space="preserve">Family Safety Branch </w:t>
      </w:r>
      <w:r w:rsidR="00635163">
        <w:rPr>
          <w:rFonts w:ascii="Calibri" w:eastAsia="Times New Roman" w:hAnsi="Calibri" w:cs="Calibri"/>
          <w:color w:val="000000"/>
          <w:kern w:val="28"/>
          <w:lang w:val="en-GB" w:eastAsia="en-AU"/>
        </w:rPr>
        <w:t xml:space="preserve">of the </w:t>
      </w:r>
      <w:r w:rsidRPr="005B3FB2">
        <w:rPr>
          <w:rFonts w:ascii="Calibri" w:eastAsia="Times New Roman" w:hAnsi="Calibri" w:cs="Calibri"/>
          <w:color w:val="000000"/>
          <w:kern w:val="28"/>
          <w:lang w:val="en-GB" w:eastAsia="en-AU"/>
        </w:rPr>
        <w:t>Department of Social Services to obtain a more accurate and comprehensive understanding of these matters.</w:t>
      </w:r>
    </w:p>
    <w:p w14:paraId="3D852215" w14:textId="017C2BA3" w:rsidR="00A959FF" w:rsidRPr="005B3FB2" w:rsidRDefault="005B3FB2" w:rsidP="005B3FB2">
      <w:pPr>
        <w:ind w:left="720"/>
        <w:rPr>
          <w:rFonts w:ascii="Calibri" w:hAnsi="Calibri" w:cs="Calibri"/>
          <w:b/>
          <w:bCs/>
          <w:color w:val="AC1F79"/>
          <w:sz w:val="28"/>
          <w:szCs w:val="28"/>
          <w:lang w:val="en-GB"/>
        </w:rPr>
      </w:pPr>
      <w:r w:rsidRPr="005B3FB2">
        <w:rPr>
          <w:rFonts w:ascii="Calibri" w:hAnsi="Calibri" w:cs="Calibri"/>
          <w:b/>
          <w:bCs/>
          <w:color w:val="AC1F79"/>
          <w:sz w:val="28"/>
          <w:szCs w:val="28"/>
          <w:lang w:val="en-GB"/>
        </w:rPr>
        <w:t xml:space="preserve">PART III - </w:t>
      </w:r>
      <w:r w:rsidR="00A959FF" w:rsidRPr="005B3FB2">
        <w:rPr>
          <w:rFonts w:ascii="Calibri" w:hAnsi="Calibri" w:cs="Calibri"/>
          <w:b/>
          <w:bCs/>
          <w:color w:val="AC1F79"/>
          <w:sz w:val="28"/>
          <w:szCs w:val="28"/>
          <w:lang w:val="en-GB"/>
        </w:rPr>
        <w:t xml:space="preserve">Issues relating to the general provisions of the </w:t>
      </w:r>
      <w:proofErr w:type="gramStart"/>
      <w:r w:rsidR="00A959FF" w:rsidRPr="005B3FB2">
        <w:rPr>
          <w:rFonts w:ascii="Calibri" w:hAnsi="Calibri" w:cs="Calibri"/>
          <w:b/>
          <w:bCs/>
          <w:color w:val="AC1F79"/>
          <w:sz w:val="28"/>
          <w:szCs w:val="28"/>
          <w:lang w:val="en-GB"/>
        </w:rPr>
        <w:t>Covenant</w:t>
      </w:r>
      <w:proofErr w:type="gramEnd"/>
      <w:r w:rsidR="00A959FF" w:rsidRPr="005B3FB2">
        <w:rPr>
          <w:rFonts w:ascii="Calibri" w:hAnsi="Calibri" w:cs="Calibri"/>
          <w:b/>
          <w:bCs/>
          <w:color w:val="AC1F79"/>
          <w:sz w:val="28"/>
          <w:szCs w:val="28"/>
          <w:lang w:val="en-GB"/>
        </w:rPr>
        <w:t xml:space="preserve"> </w:t>
      </w:r>
    </w:p>
    <w:p w14:paraId="022D021F" w14:textId="1B3BCE6C" w:rsidR="00A959FF" w:rsidRPr="005B3FB2" w:rsidRDefault="00A959FF" w:rsidP="0050360D">
      <w:pPr>
        <w:pStyle w:val="ListParagraph"/>
        <w:numPr>
          <w:ilvl w:val="0"/>
          <w:numId w:val="24"/>
        </w:numPr>
        <w:spacing w:before="100" w:beforeAutospacing="1" w:afterAutospacing="1" w:line="276" w:lineRule="auto"/>
        <w:rPr>
          <w:rFonts w:cstheme="minorHAnsi"/>
        </w:rPr>
      </w:pPr>
      <w:r w:rsidRPr="005B3FB2">
        <w:rPr>
          <w:rFonts w:cstheme="minorHAnsi"/>
          <w:lang w:val="en-GB"/>
        </w:rPr>
        <w:t xml:space="preserve">In relation to the Australian Government’s reported initiatives to increase job </w:t>
      </w:r>
      <w:r w:rsidRPr="00AE4796">
        <w:rPr>
          <w:rFonts w:cstheme="minorHAnsi"/>
          <w:lang w:val="en-GB"/>
        </w:rPr>
        <w:t>opportunities, we note that people with disability are not included in the list of population cohorts facing systemic barriers to economic participation.</w:t>
      </w:r>
      <w:r w:rsidRPr="00AE4796">
        <w:rPr>
          <w:rStyle w:val="EndnoteReference"/>
          <w:rFonts w:cstheme="minorHAnsi"/>
          <w:lang w:val="en-GB"/>
        </w:rPr>
        <w:endnoteReference w:id="19"/>
      </w:r>
      <w:r w:rsidRPr="00AE4796">
        <w:rPr>
          <w:rFonts w:cstheme="minorHAnsi"/>
          <w:lang w:val="en-GB"/>
        </w:rPr>
        <w:t xml:space="preserve"> This is concerning </w:t>
      </w:r>
      <w:proofErr w:type="gramStart"/>
      <w:r w:rsidRPr="00AE4796">
        <w:rPr>
          <w:rFonts w:cstheme="minorHAnsi"/>
          <w:lang w:val="en-GB"/>
        </w:rPr>
        <w:t>in light of</w:t>
      </w:r>
      <w:proofErr w:type="gramEnd"/>
      <w:r w:rsidR="00AE4796">
        <w:rPr>
          <w:rFonts w:cstheme="minorHAnsi"/>
          <w:lang w:val="en-GB"/>
        </w:rPr>
        <w:t xml:space="preserve"> the</w:t>
      </w:r>
      <w:r w:rsidRPr="00AE4796">
        <w:rPr>
          <w:rFonts w:cstheme="minorHAnsi"/>
          <w:lang w:val="en-GB"/>
        </w:rPr>
        <w:t xml:space="preserve"> </w:t>
      </w:r>
      <w:r w:rsidR="0050360D" w:rsidRPr="00AE4796">
        <w:rPr>
          <w:rFonts w:cstheme="minorHAnsi"/>
          <w:lang w:val="en-GB"/>
        </w:rPr>
        <w:t>limited progress</w:t>
      </w:r>
      <w:r w:rsidR="00AE4796">
        <w:rPr>
          <w:rFonts w:cstheme="minorHAnsi"/>
          <w:lang w:val="en-GB"/>
        </w:rPr>
        <w:t xml:space="preserve"> made</w:t>
      </w:r>
      <w:r w:rsidR="0050360D" w:rsidRPr="00AE4796">
        <w:rPr>
          <w:rFonts w:cstheme="minorHAnsi"/>
          <w:lang w:val="en-GB"/>
        </w:rPr>
        <w:t xml:space="preserve"> towards open </w:t>
      </w:r>
      <w:r w:rsidR="00AE4796">
        <w:rPr>
          <w:rFonts w:cstheme="minorHAnsi"/>
          <w:lang w:val="en-GB"/>
        </w:rPr>
        <w:t>workforce participation</w:t>
      </w:r>
      <w:r w:rsidR="0050360D" w:rsidRPr="00AE4796">
        <w:rPr>
          <w:rFonts w:cstheme="minorHAnsi"/>
          <w:lang w:val="en-GB"/>
        </w:rPr>
        <w:t xml:space="preserve"> for people with disability, </w:t>
      </w:r>
      <w:r w:rsidR="00AE4796">
        <w:rPr>
          <w:rFonts w:cstheme="minorHAnsi"/>
          <w:lang w:val="en-GB"/>
        </w:rPr>
        <w:t xml:space="preserve">and in </w:t>
      </w:r>
      <w:r w:rsidR="00AE4796" w:rsidRPr="00AE4796">
        <w:rPr>
          <w:rFonts w:cstheme="minorHAnsi"/>
          <w:lang w:val="en-GB"/>
        </w:rPr>
        <w:t>particular</w:t>
      </w:r>
      <w:r w:rsidR="00AE4796">
        <w:rPr>
          <w:rFonts w:cstheme="minorHAnsi"/>
          <w:lang w:val="en-GB"/>
        </w:rPr>
        <w:t xml:space="preserve"> </w:t>
      </w:r>
      <w:r w:rsidR="00AE4796" w:rsidRPr="00AE4796">
        <w:rPr>
          <w:rFonts w:cstheme="minorHAnsi"/>
          <w:lang w:val="en-GB"/>
        </w:rPr>
        <w:t>women with disability</w:t>
      </w:r>
      <w:r w:rsidR="00AE4796">
        <w:rPr>
          <w:rFonts w:cstheme="minorHAnsi"/>
          <w:lang w:val="en-GB"/>
        </w:rPr>
        <w:t xml:space="preserve">. </w:t>
      </w:r>
      <w:r w:rsidRPr="005B3FB2">
        <w:rPr>
          <w:rFonts w:cstheme="minorHAnsi"/>
          <w:lang w:val="en-GB"/>
        </w:rPr>
        <w:br/>
      </w:r>
    </w:p>
    <w:p w14:paraId="5635D0C7" w14:textId="5A07B359" w:rsidR="000E74F3" w:rsidRPr="00635163" w:rsidRDefault="00A959FF" w:rsidP="00635163">
      <w:pPr>
        <w:pStyle w:val="ListParagraph"/>
        <w:numPr>
          <w:ilvl w:val="0"/>
          <w:numId w:val="24"/>
        </w:numPr>
        <w:spacing w:before="100" w:beforeAutospacing="1" w:afterAutospacing="1" w:line="276" w:lineRule="auto"/>
        <w:rPr>
          <w:rFonts w:eastAsiaTheme="minorHAnsi" w:cstheme="minorHAnsi"/>
          <w:kern w:val="2"/>
          <w14:ligatures w14:val="standardContextual"/>
        </w:rPr>
      </w:pPr>
      <w:r w:rsidRPr="005B3FB2">
        <w:rPr>
          <w:rFonts w:cstheme="minorHAnsi"/>
          <w:lang w:val="en-GB"/>
        </w:rPr>
        <w:t xml:space="preserve">WWDA is also </w:t>
      </w:r>
      <w:r w:rsidR="007E71BA">
        <w:rPr>
          <w:rFonts w:cstheme="minorHAnsi"/>
          <w:lang w:val="en-GB"/>
        </w:rPr>
        <w:t>disappointed</w:t>
      </w:r>
      <w:r w:rsidRPr="005B3FB2">
        <w:rPr>
          <w:rFonts w:cstheme="minorHAnsi"/>
          <w:lang w:val="en-GB"/>
        </w:rPr>
        <w:t xml:space="preserve"> that the Draft Report does not address the segregation of students with disability into special schools, </w:t>
      </w:r>
      <w:r w:rsidR="007E71BA">
        <w:rPr>
          <w:rFonts w:cstheme="minorHAnsi"/>
          <w:lang w:val="en-GB"/>
        </w:rPr>
        <w:t>despite the concerns expressed by</w:t>
      </w:r>
      <w:r w:rsidRPr="005B3FB2">
        <w:rPr>
          <w:rFonts w:cstheme="minorHAnsi"/>
          <w:lang w:val="en-GB"/>
        </w:rPr>
        <w:t xml:space="preserve"> various treaty </w:t>
      </w:r>
      <w:r w:rsidR="00D65823" w:rsidRPr="005B3FB2">
        <w:rPr>
          <w:rFonts w:eastAsiaTheme="minorHAnsi" w:cstheme="minorHAnsi"/>
          <w:kern w:val="2"/>
          <w14:ligatures w14:val="standardContextual"/>
        </w:rPr>
        <w:t xml:space="preserve">monitoring bodies, including the </w:t>
      </w:r>
      <w:r w:rsidR="00AE4796">
        <w:rPr>
          <w:rFonts w:cstheme="minorHAnsi"/>
        </w:rPr>
        <w:t>CESCR</w:t>
      </w:r>
      <w:r w:rsidRPr="005B3FB2">
        <w:rPr>
          <w:rFonts w:cstheme="minorHAnsi"/>
        </w:rPr>
        <w:t>.</w:t>
      </w:r>
      <w:r w:rsidR="00D65823" w:rsidRPr="005B3FB2">
        <w:rPr>
          <w:rStyle w:val="EndnoteReference"/>
          <w:rFonts w:cstheme="minorHAnsi"/>
        </w:rPr>
        <w:endnoteReference w:id="20"/>
      </w:r>
      <w:r w:rsidR="007E71BA">
        <w:rPr>
          <w:rFonts w:cstheme="minorHAnsi"/>
        </w:rPr>
        <w:t xml:space="preserve"> T</w:t>
      </w:r>
      <w:r w:rsidRPr="005B3FB2">
        <w:rPr>
          <w:rFonts w:cstheme="minorHAnsi"/>
        </w:rPr>
        <w:t>he Australian Government’s response regarding the a</w:t>
      </w:r>
      <w:r w:rsidRPr="005B3FB2">
        <w:rPr>
          <w:rFonts w:cstheme="minorHAnsi"/>
        </w:rPr>
        <w:t>vailability, accessibility and quality of inclusive education</w:t>
      </w:r>
      <w:r w:rsidRPr="005B3FB2">
        <w:rPr>
          <w:rFonts w:cstheme="minorHAnsi"/>
        </w:rPr>
        <w:t xml:space="preserve"> fails to engage with the concept of inclusive education as </w:t>
      </w:r>
      <w:r w:rsidR="00E63F88">
        <w:rPr>
          <w:rFonts w:cstheme="minorHAnsi"/>
        </w:rPr>
        <w:t>endorsed</w:t>
      </w:r>
      <w:r w:rsidRPr="005B3FB2">
        <w:rPr>
          <w:rFonts w:cstheme="minorHAnsi"/>
        </w:rPr>
        <w:t xml:space="preserve"> by treaty monitoring bodies</w:t>
      </w:r>
      <w:r w:rsidR="00E63F88">
        <w:rPr>
          <w:rFonts w:cstheme="minorHAnsi"/>
        </w:rPr>
        <w:t>.</w:t>
      </w:r>
      <w:r w:rsidR="00E63F88" w:rsidRPr="00E1560A">
        <w:rPr>
          <w:rFonts w:ascii="Calibri" w:hAnsi="Calibri" w:cs="Calibri"/>
          <w:color w:val="000000" w:themeColor="text1"/>
          <w:sz w:val="22"/>
          <w:szCs w:val="22"/>
          <w:vertAlign w:val="superscript"/>
        </w:rPr>
        <w:endnoteReference w:id="21"/>
      </w:r>
      <w:r w:rsidR="00E63F88">
        <w:rPr>
          <w:rFonts w:cstheme="minorHAnsi"/>
        </w:rPr>
        <w:t xml:space="preserve"> </w:t>
      </w:r>
    </w:p>
    <w:p w14:paraId="1F592ECF" w14:textId="3E963941" w:rsidR="00635163" w:rsidRPr="00635163" w:rsidRDefault="00635163" w:rsidP="00635163">
      <w:pPr>
        <w:spacing w:before="100" w:beforeAutospacing="1" w:afterAutospacing="1" w:line="276" w:lineRule="auto"/>
        <w:ind w:left="0" w:firstLine="0"/>
        <w:rPr>
          <w:rFonts w:cstheme="minorHAnsi"/>
        </w:rPr>
      </w:pPr>
      <w:r>
        <w:rPr>
          <w:rFonts w:ascii="Calibri" w:hAnsi="Calibri" w:cs="Calibri"/>
          <w:b/>
          <w:bCs/>
          <w:color w:val="AC1F79"/>
          <w:sz w:val="28"/>
          <w:szCs w:val="28"/>
          <w:lang w:val="en-GB"/>
        </w:rPr>
        <w:t>Conclusion</w:t>
      </w:r>
    </w:p>
    <w:p w14:paraId="08F18D52" w14:textId="6BCF4253" w:rsidR="00635163" w:rsidRPr="00635163" w:rsidRDefault="00635163" w:rsidP="00635163">
      <w:pPr>
        <w:pStyle w:val="ListParagraph"/>
        <w:numPr>
          <w:ilvl w:val="0"/>
          <w:numId w:val="24"/>
        </w:numPr>
        <w:spacing w:before="100" w:beforeAutospacing="1" w:afterAutospacing="1" w:line="276" w:lineRule="auto"/>
        <w:rPr>
          <w:rFonts w:cstheme="minorHAnsi"/>
          <w:lang w:val="en-GB"/>
        </w:rPr>
      </w:pPr>
      <w:r w:rsidRPr="00635163">
        <w:rPr>
          <w:rFonts w:cstheme="minorHAnsi"/>
          <w:lang w:val="en-GB"/>
        </w:rPr>
        <w:t xml:space="preserve">Once again, WWDA thanks the Australian Government and the </w:t>
      </w:r>
      <w:r w:rsidRPr="00635163">
        <w:rPr>
          <w:rFonts w:cstheme="minorHAnsi"/>
          <w:lang w:val="en-GB"/>
        </w:rPr>
        <w:t>Department of Foreign Affairs and Trade</w:t>
      </w:r>
      <w:r w:rsidRPr="00635163">
        <w:rPr>
          <w:rFonts w:cstheme="minorHAnsi"/>
          <w:lang w:val="en-GB"/>
        </w:rPr>
        <w:t xml:space="preserve"> for the opportunity to provide this response.  </w:t>
      </w:r>
    </w:p>
    <w:sectPr w:rsidR="00635163" w:rsidRPr="0063516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D9D6" w14:textId="77777777" w:rsidR="00D7741F" w:rsidRDefault="00D7741F" w:rsidP="005C42C2">
      <w:pPr>
        <w:spacing w:after="0" w:line="240" w:lineRule="auto"/>
      </w:pPr>
      <w:r>
        <w:separator/>
      </w:r>
    </w:p>
  </w:endnote>
  <w:endnote w:type="continuationSeparator" w:id="0">
    <w:p w14:paraId="085EB73F" w14:textId="77777777" w:rsidR="00D7741F" w:rsidRDefault="00D7741F" w:rsidP="005C42C2">
      <w:pPr>
        <w:spacing w:after="0" w:line="240" w:lineRule="auto"/>
      </w:pPr>
      <w:r>
        <w:continuationSeparator/>
      </w:r>
    </w:p>
  </w:endnote>
  <w:endnote w:id="1">
    <w:p w14:paraId="06B1E2B5" w14:textId="77777777" w:rsidR="00874565" w:rsidRPr="007E71BA" w:rsidRDefault="00874565"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Committee on the Rights of Persons with Disabilities, General Comment No. 7 on the Participation of Persons with Disabilities, Including Children with Disabilities, through Their Representative Organizations, in the Implementing and Monitoring of the Convention, UN Doc CRPD/C/GC/7 (9 November 2018)</w:t>
      </w:r>
      <w:r w:rsidRPr="007E71BA">
        <w:rPr>
          <w:rStyle w:val="markedcontent"/>
          <w:rFonts w:cstheme="minorHAnsi"/>
          <w:color w:val="000000" w:themeColor="text1"/>
          <w:sz w:val="16"/>
          <w:szCs w:val="16"/>
        </w:rPr>
        <w:t>.</w:t>
      </w:r>
    </w:p>
  </w:endnote>
  <w:endnote w:id="2">
    <w:p w14:paraId="3E7CC29C" w14:textId="652F5A59" w:rsidR="00586911" w:rsidRPr="007E71BA" w:rsidRDefault="00586911"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007E71BA" w:rsidRPr="007E71BA">
        <w:rPr>
          <w:rFonts w:cstheme="minorHAnsi"/>
          <w:color w:val="000000" w:themeColor="text1"/>
          <w:sz w:val="16"/>
          <w:szCs w:val="16"/>
        </w:rPr>
        <w:t>Part I</w:t>
      </w:r>
      <w:r w:rsidR="00666C62">
        <w:rPr>
          <w:rFonts w:cstheme="minorHAnsi"/>
          <w:color w:val="000000" w:themeColor="text1"/>
          <w:sz w:val="16"/>
          <w:szCs w:val="16"/>
        </w:rPr>
        <w:t xml:space="preserve">, </w:t>
      </w:r>
      <w:proofErr w:type="gramStart"/>
      <w:r w:rsidR="00666C62">
        <w:rPr>
          <w:rFonts w:cstheme="minorHAnsi"/>
          <w:color w:val="000000" w:themeColor="text1"/>
          <w:sz w:val="16"/>
          <w:szCs w:val="16"/>
        </w:rPr>
        <w:t>1.2.</w:t>
      </w:r>
      <w:r w:rsidR="007E71BA" w:rsidRPr="007E71BA">
        <w:rPr>
          <w:rFonts w:cstheme="minorHAnsi"/>
          <w:color w:val="000000" w:themeColor="text1"/>
          <w:sz w:val="16"/>
          <w:szCs w:val="16"/>
        </w:rPr>
        <w:t>.</w:t>
      </w:r>
      <w:proofErr w:type="gramEnd"/>
      <w:r w:rsidR="007E71BA" w:rsidRPr="007E71BA">
        <w:rPr>
          <w:rFonts w:cstheme="minorHAnsi"/>
          <w:color w:val="000000" w:themeColor="text1"/>
          <w:sz w:val="16"/>
          <w:szCs w:val="16"/>
        </w:rPr>
        <w:t xml:space="preserve"> </w:t>
      </w:r>
    </w:p>
  </w:endnote>
  <w:endnote w:id="3">
    <w:p w14:paraId="3CE5E77B" w14:textId="13F5561E" w:rsidR="00217FA1" w:rsidRPr="007E71BA" w:rsidRDefault="00217FA1"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 xml:space="preserve">Part </w:t>
      </w:r>
      <w:r w:rsidR="007E71BA" w:rsidRPr="007E71BA">
        <w:rPr>
          <w:rFonts w:cstheme="minorHAnsi"/>
          <w:color w:val="000000" w:themeColor="text1"/>
          <w:sz w:val="16"/>
          <w:szCs w:val="16"/>
        </w:rPr>
        <w:t>I</w:t>
      </w:r>
      <w:r w:rsidR="00666C62">
        <w:rPr>
          <w:rFonts w:cstheme="minorHAnsi"/>
          <w:color w:val="000000" w:themeColor="text1"/>
          <w:sz w:val="16"/>
          <w:szCs w:val="16"/>
        </w:rPr>
        <w:t>, 1.5</w:t>
      </w:r>
      <w:r w:rsidRPr="007E71BA">
        <w:rPr>
          <w:rFonts w:cstheme="minorHAnsi"/>
          <w:color w:val="000000" w:themeColor="text1"/>
          <w:sz w:val="16"/>
          <w:szCs w:val="16"/>
        </w:rPr>
        <w:t xml:space="preserve">. </w:t>
      </w:r>
    </w:p>
  </w:endnote>
  <w:endnote w:id="4">
    <w:p w14:paraId="1858280D" w14:textId="44332BC4" w:rsidR="00B8023D" w:rsidRPr="007E71BA" w:rsidRDefault="00B8023D"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007E71BA" w:rsidRPr="007E71BA">
        <w:rPr>
          <w:rFonts w:cstheme="minorHAnsi"/>
          <w:color w:val="000000" w:themeColor="text1"/>
          <w:sz w:val="16"/>
          <w:szCs w:val="16"/>
        </w:rPr>
        <w:t>Part I</w:t>
      </w:r>
      <w:r w:rsidR="00666C62">
        <w:rPr>
          <w:rFonts w:cstheme="minorHAnsi"/>
          <w:color w:val="000000" w:themeColor="text1"/>
          <w:sz w:val="16"/>
          <w:szCs w:val="16"/>
        </w:rPr>
        <w:t>, 2.2</w:t>
      </w:r>
      <w:r w:rsidRPr="007E71BA">
        <w:rPr>
          <w:rFonts w:cstheme="minorHAnsi"/>
          <w:color w:val="000000" w:themeColor="text1"/>
          <w:sz w:val="16"/>
          <w:szCs w:val="16"/>
        </w:rPr>
        <w:t xml:space="preserve">. </w:t>
      </w:r>
    </w:p>
  </w:endnote>
  <w:endnote w:id="5">
    <w:p w14:paraId="09054714" w14:textId="44F4884D" w:rsidR="00B8023D" w:rsidRPr="007E71BA" w:rsidRDefault="00B8023D"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007E71BA" w:rsidRPr="007E71BA">
        <w:rPr>
          <w:rFonts w:cstheme="minorHAnsi"/>
          <w:color w:val="000000" w:themeColor="text1"/>
          <w:sz w:val="16"/>
          <w:szCs w:val="16"/>
        </w:rPr>
        <w:t>Part I</w:t>
      </w:r>
      <w:r w:rsidR="00666C62">
        <w:rPr>
          <w:rFonts w:cstheme="minorHAnsi"/>
          <w:color w:val="000000" w:themeColor="text1"/>
          <w:sz w:val="16"/>
          <w:szCs w:val="16"/>
        </w:rPr>
        <w:t>, 2.3</w:t>
      </w:r>
      <w:r w:rsidR="007E71BA" w:rsidRPr="007E71BA">
        <w:rPr>
          <w:rFonts w:cstheme="minorHAnsi"/>
          <w:color w:val="000000" w:themeColor="text1"/>
          <w:sz w:val="16"/>
          <w:szCs w:val="16"/>
        </w:rPr>
        <w:t>.</w:t>
      </w:r>
    </w:p>
  </w:endnote>
  <w:endnote w:id="6">
    <w:p w14:paraId="5FB6A862" w14:textId="141E5B10" w:rsidR="00B8023D" w:rsidRPr="007E71BA" w:rsidRDefault="00B8023D"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007E71BA" w:rsidRPr="007E71BA">
        <w:rPr>
          <w:rFonts w:cstheme="minorHAnsi"/>
          <w:color w:val="000000" w:themeColor="text1"/>
          <w:sz w:val="16"/>
          <w:szCs w:val="16"/>
        </w:rPr>
        <w:t>Part I</w:t>
      </w:r>
      <w:r w:rsidR="00666C62">
        <w:rPr>
          <w:rFonts w:cstheme="minorHAnsi"/>
          <w:color w:val="000000" w:themeColor="text1"/>
          <w:sz w:val="16"/>
          <w:szCs w:val="16"/>
        </w:rPr>
        <w:t>, 2.7</w:t>
      </w:r>
      <w:r w:rsidRPr="007E71BA">
        <w:rPr>
          <w:rFonts w:cstheme="minorHAnsi"/>
          <w:color w:val="000000" w:themeColor="text1"/>
          <w:sz w:val="16"/>
          <w:szCs w:val="16"/>
        </w:rPr>
        <w:t xml:space="preserve">. </w:t>
      </w:r>
    </w:p>
  </w:endnote>
  <w:endnote w:id="7">
    <w:p w14:paraId="1D0369F6" w14:textId="25EA65C4" w:rsidR="00C71435" w:rsidRPr="007E71BA" w:rsidRDefault="00C71435"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007E71BA" w:rsidRPr="007E71BA">
        <w:rPr>
          <w:rFonts w:cstheme="minorHAnsi"/>
          <w:color w:val="000000" w:themeColor="text1"/>
          <w:sz w:val="16"/>
          <w:szCs w:val="16"/>
        </w:rPr>
        <w:t xml:space="preserve">Part </w:t>
      </w:r>
      <w:r w:rsidR="00666C62">
        <w:rPr>
          <w:rFonts w:cstheme="minorHAnsi"/>
          <w:color w:val="000000" w:themeColor="text1"/>
          <w:sz w:val="16"/>
          <w:szCs w:val="16"/>
        </w:rPr>
        <w:t xml:space="preserve">I, 3. </w:t>
      </w:r>
    </w:p>
  </w:endnote>
  <w:endnote w:id="8">
    <w:p w14:paraId="5D50F093" w14:textId="63A3491B" w:rsidR="0060450F" w:rsidRPr="007E71BA" w:rsidRDefault="0060450F" w:rsidP="007E71BA">
      <w:pPr>
        <w:pStyle w:val="NormalWeb"/>
        <w:spacing w:before="0" w:beforeAutospacing="0" w:after="0" w:afterAutospacing="0"/>
        <w:ind w:left="357"/>
        <w:rPr>
          <w:rFonts w:asciiTheme="minorHAnsi" w:hAnsiTheme="minorHAnsi" w:cstheme="minorHAnsi"/>
          <w:color w:val="000000" w:themeColor="text1"/>
          <w:sz w:val="16"/>
          <w:szCs w:val="16"/>
        </w:rPr>
      </w:pPr>
      <w:r w:rsidRPr="007E71BA">
        <w:rPr>
          <w:rFonts w:asciiTheme="minorHAnsi" w:eastAsiaTheme="minorHAnsi" w:hAnsiTheme="minorHAnsi" w:cstheme="minorHAnsi"/>
          <w:color w:val="000000" w:themeColor="text1"/>
          <w:kern w:val="2"/>
          <w:sz w:val="16"/>
          <w:szCs w:val="16"/>
          <w:vertAlign w:val="superscript"/>
          <w:lang w:eastAsia="en-US"/>
          <w14:ligatures w14:val="standardContextual"/>
        </w:rPr>
        <w:endnoteRef/>
      </w:r>
      <w:r w:rsidRPr="007E71BA">
        <w:rPr>
          <w:rFonts w:asciiTheme="minorHAnsi" w:eastAsiaTheme="minorHAnsi" w:hAnsiTheme="minorHAnsi" w:cstheme="minorHAnsi"/>
          <w:color w:val="000000" w:themeColor="text1"/>
          <w:kern w:val="2"/>
          <w:sz w:val="16"/>
          <w:szCs w:val="16"/>
          <w:lang w:eastAsia="en-US"/>
          <w14:ligatures w14:val="standardContextual"/>
        </w:rPr>
        <w:t xml:space="preserve"> </w:t>
      </w:r>
      <w:r w:rsidRPr="007E71BA">
        <w:rPr>
          <w:rFonts w:asciiTheme="minorHAnsi" w:eastAsiaTheme="minorHAnsi" w:hAnsiTheme="minorHAnsi" w:cstheme="minorHAnsi"/>
          <w:color w:val="000000" w:themeColor="text1"/>
          <w:kern w:val="2"/>
          <w:sz w:val="16"/>
          <w:szCs w:val="16"/>
          <w:lang w:eastAsia="en-US"/>
          <w14:ligatures w14:val="standardContextual"/>
        </w:rPr>
        <w:t>Committee on the Rights of Persons with Disabilities (2019) Concluding observations on the combined second and third periodic reports of Australia, adopted by the Committee at its 511th meeting (20 September 2019) of the 22nd session; UN Doc. CRPD/C/AUS/CO/2-3.</w:t>
      </w:r>
      <w:r w:rsidRPr="007E71BA">
        <w:rPr>
          <w:rFonts w:asciiTheme="minorHAnsi" w:hAnsiTheme="minorHAnsi" w:cstheme="minorHAnsi"/>
          <w:color w:val="000000" w:themeColor="text1"/>
          <w:sz w:val="16"/>
          <w:szCs w:val="16"/>
        </w:rPr>
        <w:t xml:space="preserve"> </w:t>
      </w:r>
    </w:p>
  </w:endnote>
  <w:endnote w:id="9">
    <w:p w14:paraId="0C3F0CC9" w14:textId="74BA634E" w:rsidR="0060450F" w:rsidRPr="007E71BA" w:rsidRDefault="0060450F"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w:t>
      </w:r>
      <w:r w:rsidR="00666C62">
        <w:rPr>
          <w:rFonts w:cstheme="minorHAnsi"/>
          <w:color w:val="000000" w:themeColor="text1"/>
          <w:sz w:val="16"/>
          <w:szCs w:val="16"/>
        </w:rPr>
        <w:t>, 5.</w:t>
      </w:r>
    </w:p>
  </w:endnote>
  <w:endnote w:id="10">
    <w:p w14:paraId="49AE9508" w14:textId="4F96B4CF" w:rsidR="0074313D" w:rsidRPr="007E71BA" w:rsidRDefault="0074313D" w:rsidP="007E71BA">
      <w:pPr>
        <w:pStyle w:val="NormalWeb"/>
        <w:spacing w:before="0" w:beforeAutospacing="0" w:after="0" w:afterAutospacing="0"/>
        <w:ind w:left="357"/>
        <w:rPr>
          <w:rFonts w:asciiTheme="minorHAnsi" w:hAnsiTheme="minorHAnsi" w:cstheme="minorHAnsi"/>
          <w:color w:val="000000" w:themeColor="text1"/>
          <w:sz w:val="16"/>
          <w:szCs w:val="16"/>
        </w:rPr>
      </w:pPr>
      <w:r w:rsidRPr="007E71BA">
        <w:rPr>
          <w:rFonts w:asciiTheme="minorHAnsi" w:eastAsiaTheme="minorHAnsi" w:hAnsiTheme="minorHAnsi" w:cstheme="minorHAnsi"/>
          <w:color w:val="000000" w:themeColor="text1"/>
          <w:kern w:val="2"/>
          <w:sz w:val="16"/>
          <w:szCs w:val="16"/>
          <w:vertAlign w:val="superscript"/>
          <w:lang w:eastAsia="en-US"/>
          <w14:ligatures w14:val="standardContextual"/>
        </w:rPr>
        <w:endnoteRef/>
      </w:r>
      <w:r w:rsidRPr="007E71BA">
        <w:rPr>
          <w:rFonts w:asciiTheme="minorHAnsi" w:eastAsiaTheme="minorHAnsi" w:hAnsiTheme="minorHAnsi" w:cstheme="minorHAnsi"/>
          <w:color w:val="000000" w:themeColor="text1"/>
          <w:kern w:val="2"/>
          <w:sz w:val="16"/>
          <w:szCs w:val="16"/>
          <w:lang w:eastAsia="en-US"/>
          <w14:ligatures w14:val="standardContextual"/>
        </w:rPr>
        <w:t>Committee on Economic, Social and Cultural Rights (2017) Concluding observations on the fifth periodic report of Australia; 11 July 2017; UN Doc. E/C.12/AUS/ CO/5.</w:t>
      </w:r>
      <w:r w:rsidRPr="007E71BA">
        <w:rPr>
          <w:rFonts w:asciiTheme="minorHAnsi" w:hAnsiTheme="minorHAnsi" w:cstheme="minorHAnsi"/>
          <w:color w:val="000000" w:themeColor="text1"/>
          <w:sz w:val="16"/>
          <w:szCs w:val="16"/>
        </w:rPr>
        <w:t xml:space="preserve"> </w:t>
      </w:r>
    </w:p>
  </w:endnote>
  <w:endnote w:id="11">
    <w:p w14:paraId="57FD11CB" w14:textId="738F6831" w:rsidR="0060450F" w:rsidRPr="007E71BA" w:rsidRDefault="0060450F"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II</w:t>
      </w:r>
      <w:r w:rsidR="00666C62">
        <w:rPr>
          <w:rFonts w:cstheme="minorHAnsi"/>
          <w:color w:val="000000" w:themeColor="text1"/>
          <w:sz w:val="16"/>
          <w:szCs w:val="16"/>
        </w:rPr>
        <w:t>, 8.</w:t>
      </w:r>
    </w:p>
  </w:endnote>
  <w:endnote w:id="12">
    <w:p w14:paraId="2F4552F3" w14:textId="0A1A9572" w:rsidR="00A35BD5" w:rsidRPr="007E71BA" w:rsidRDefault="00A35BD5"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II</w:t>
      </w:r>
      <w:r w:rsidR="00666C62">
        <w:rPr>
          <w:rFonts w:cstheme="minorHAnsi"/>
          <w:color w:val="000000" w:themeColor="text1"/>
          <w:sz w:val="16"/>
          <w:szCs w:val="16"/>
        </w:rPr>
        <w:t>, 9.1.</w:t>
      </w:r>
    </w:p>
  </w:endnote>
  <w:endnote w:id="13">
    <w:p w14:paraId="55C3AFCF" w14:textId="674B6A6F" w:rsidR="00A35BD5" w:rsidRPr="007E71BA" w:rsidRDefault="00A35BD5" w:rsidP="007E71BA">
      <w:pPr>
        <w:pStyle w:val="NormalWeb"/>
        <w:spacing w:before="0" w:beforeAutospacing="0" w:after="0" w:afterAutospacing="0"/>
        <w:ind w:left="357"/>
        <w:rPr>
          <w:rFonts w:asciiTheme="minorHAnsi" w:eastAsiaTheme="minorHAnsi" w:hAnsiTheme="minorHAnsi" w:cstheme="minorHAnsi"/>
          <w:color w:val="000000" w:themeColor="text1"/>
          <w:kern w:val="2"/>
          <w:sz w:val="16"/>
          <w:szCs w:val="16"/>
          <w:lang w:eastAsia="en-US"/>
          <w14:ligatures w14:val="standardContextual"/>
        </w:rPr>
      </w:pPr>
      <w:r w:rsidRPr="007E71BA">
        <w:rPr>
          <w:rFonts w:asciiTheme="minorHAnsi" w:eastAsiaTheme="minorHAnsi" w:hAnsiTheme="minorHAnsi" w:cstheme="minorHAnsi"/>
          <w:color w:val="000000" w:themeColor="text1"/>
          <w:kern w:val="2"/>
          <w:sz w:val="16"/>
          <w:szCs w:val="16"/>
          <w:vertAlign w:val="superscript"/>
          <w:lang w:eastAsia="en-US"/>
          <w14:ligatures w14:val="standardContextual"/>
        </w:rPr>
        <w:endnoteRef/>
      </w:r>
      <w:r w:rsidRPr="007E71BA">
        <w:rPr>
          <w:rFonts w:asciiTheme="minorHAnsi" w:eastAsiaTheme="minorHAnsi" w:hAnsiTheme="minorHAnsi" w:cstheme="minorHAnsi"/>
          <w:color w:val="000000" w:themeColor="text1"/>
          <w:kern w:val="2"/>
          <w:sz w:val="16"/>
          <w:szCs w:val="16"/>
          <w:vertAlign w:val="superscript"/>
          <w:lang w:eastAsia="en-US"/>
          <w14:ligatures w14:val="standardContextual"/>
        </w:rPr>
        <w:t xml:space="preserve"> </w:t>
      </w:r>
      <w:r w:rsidRPr="007E71BA">
        <w:rPr>
          <w:rFonts w:asciiTheme="minorHAnsi" w:eastAsiaTheme="minorHAnsi" w:hAnsiTheme="minorHAnsi" w:cstheme="minorHAnsi"/>
          <w:color w:val="000000" w:themeColor="text1"/>
          <w:kern w:val="2"/>
          <w:sz w:val="16"/>
          <w:szCs w:val="16"/>
          <w:lang w:eastAsia="en-US"/>
          <w14:ligatures w14:val="standardContextual"/>
        </w:rPr>
        <w:t>Committee on the Rights of Persons with Disabilities (2019) Concluding observations on the combined second and third periodic reports of Australia, adopted by the Committee at its 511th meeting (20 September 2019) of the 22nd session; UN Doc. CRPD/C/AUS/CO/2-3.</w:t>
      </w:r>
    </w:p>
  </w:endnote>
  <w:endnote w:id="14">
    <w:p w14:paraId="54F4771A" w14:textId="4F48623F" w:rsidR="0079107D" w:rsidRPr="007E71BA" w:rsidRDefault="0079107D"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II</w:t>
      </w:r>
      <w:r w:rsidR="00666C62">
        <w:rPr>
          <w:rFonts w:cstheme="minorHAnsi"/>
          <w:color w:val="000000" w:themeColor="text1"/>
          <w:sz w:val="16"/>
          <w:szCs w:val="16"/>
        </w:rPr>
        <w:t>, 9.19.</w:t>
      </w:r>
    </w:p>
  </w:endnote>
  <w:endnote w:id="15">
    <w:p w14:paraId="47DC7D07" w14:textId="2307DAF1" w:rsidR="0079107D" w:rsidRPr="007E71BA" w:rsidRDefault="0079107D"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II</w:t>
      </w:r>
      <w:r w:rsidR="00666C62">
        <w:rPr>
          <w:rFonts w:cstheme="minorHAnsi"/>
          <w:color w:val="000000" w:themeColor="text1"/>
          <w:sz w:val="16"/>
          <w:szCs w:val="16"/>
        </w:rPr>
        <w:t>, 9.21.</w:t>
      </w:r>
    </w:p>
  </w:endnote>
  <w:endnote w:id="16">
    <w:p w14:paraId="642A56FF" w14:textId="53A138DC" w:rsidR="000C7C8C" w:rsidRPr="007E71BA" w:rsidRDefault="000C7C8C"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Juan E. Mendez, Special Rapporteur on torture and other cruel, </w:t>
      </w:r>
      <w:proofErr w:type="gramStart"/>
      <w:r w:rsidRPr="007E71BA">
        <w:rPr>
          <w:rFonts w:cstheme="minorHAnsi"/>
          <w:color w:val="000000" w:themeColor="text1"/>
          <w:sz w:val="16"/>
          <w:szCs w:val="16"/>
        </w:rPr>
        <w:t>inhuman</w:t>
      </w:r>
      <w:proofErr w:type="gramEnd"/>
      <w:r w:rsidRPr="007E71BA">
        <w:rPr>
          <w:rFonts w:cstheme="minorHAnsi"/>
          <w:color w:val="000000" w:themeColor="text1"/>
          <w:sz w:val="16"/>
          <w:szCs w:val="16"/>
        </w:rPr>
        <w:t xml:space="preserve"> or degrading treatment or punishment, 22</w:t>
      </w:r>
      <w:r w:rsidRPr="007E71BA">
        <w:rPr>
          <w:rFonts w:cstheme="minorHAnsi"/>
          <w:color w:val="000000" w:themeColor="text1"/>
          <w:sz w:val="16"/>
          <w:szCs w:val="16"/>
          <w:vertAlign w:val="superscript"/>
        </w:rPr>
        <w:t>nd</w:t>
      </w:r>
      <w:r w:rsidRPr="007E71BA">
        <w:rPr>
          <w:rFonts w:cstheme="minorHAnsi"/>
          <w:color w:val="000000" w:themeColor="text1"/>
          <w:sz w:val="16"/>
          <w:szCs w:val="16"/>
        </w:rPr>
        <w:t xml:space="preserve"> </w:t>
      </w:r>
      <w:proofErr w:type="spellStart"/>
      <w:r w:rsidRPr="007E71BA">
        <w:rPr>
          <w:rFonts w:cstheme="minorHAnsi"/>
          <w:color w:val="000000" w:themeColor="text1"/>
          <w:sz w:val="16"/>
          <w:szCs w:val="16"/>
        </w:rPr>
        <w:t>sess</w:t>
      </w:r>
      <w:proofErr w:type="spellEnd"/>
      <w:r w:rsidRPr="007E71BA">
        <w:rPr>
          <w:rFonts w:cstheme="minorHAnsi"/>
          <w:color w:val="000000" w:themeColor="text1"/>
          <w:sz w:val="16"/>
          <w:szCs w:val="16"/>
        </w:rPr>
        <w:t xml:space="preserve">, Agenda Item 3, UN Doc A/HRC/22/53 (1 February 2013) para 48. The UN Special Rapporteur on Torture also clarified that: </w:t>
      </w:r>
      <w:r w:rsidRPr="007E71BA">
        <w:rPr>
          <w:rFonts w:cstheme="minorHAnsi"/>
          <w:i/>
          <w:color w:val="000000" w:themeColor="text1"/>
          <w:sz w:val="16"/>
          <w:szCs w:val="16"/>
        </w:rPr>
        <w:t xml:space="preserve">“Forced interventions often wrongfully justified by theories of incapacity and therapeutic necessity inconsistent with the Convention on the Rights of Persons with Disabilities, are legitimised under national laws, and may enjoy wide public support as being in the alleged “best interest” of the person concerned. Nevertheless, to the extent that they inflict severe pain and suffering, they violate the absolute prohibition of torture and cruel, </w:t>
      </w:r>
      <w:proofErr w:type="gramStart"/>
      <w:r w:rsidRPr="007E71BA">
        <w:rPr>
          <w:rFonts w:cstheme="minorHAnsi"/>
          <w:i/>
          <w:color w:val="000000" w:themeColor="text1"/>
          <w:sz w:val="16"/>
          <w:szCs w:val="16"/>
        </w:rPr>
        <w:t>inhuman</w:t>
      </w:r>
      <w:proofErr w:type="gramEnd"/>
      <w:r w:rsidRPr="007E71BA">
        <w:rPr>
          <w:rFonts w:cstheme="minorHAnsi"/>
          <w:i/>
          <w:color w:val="000000" w:themeColor="text1"/>
          <w:sz w:val="16"/>
          <w:szCs w:val="16"/>
        </w:rPr>
        <w:t xml:space="preserve"> and degrading treatment.” </w:t>
      </w:r>
      <w:r w:rsidRPr="007E71BA">
        <w:rPr>
          <w:rFonts w:cstheme="minorHAnsi"/>
          <w:color w:val="000000" w:themeColor="text1"/>
          <w:sz w:val="16"/>
          <w:szCs w:val="16"/>
        </w:rPr>
        <w:t xml:space="preserve">See: Juan E. Mendez, </w:t>
      </w:r>
      <w:proofErr w:type="spellStart"/>
      <w:r w:rsidRPr="007E71BA">
        <w:rPr>
          <w:rFonts w:cstheme="minorHAnsi"/>
          <w:color w:val="000000" w:themeColor="text1"/>
          <w:sz w:val="16"/>
          <w:szCs w:val="16"/>
        </w:rPr>
        <w:t>Opcit</w:t>
      </w:r>
      <w:proofErr w:type="spellEnd"/>
      <w:r w:rsidRPr="007E71BA">
        <w:rPr>
          <w:rFonts w:cstheme="minorHAnsi"/>
          <w:color w:val="000000" w:themeColor="text1"/>
          <w:sz w:val="16"/>
          <w:szCs w:val="16"/>
        </w:rPr>
        <w:t xml:space="preserve">., para 64. </w:t>
      </w:r>
    </w:p>
  </w:endnote>
  <w:endnote w:id="17">
    <w:p w14:paraId="619A30FE" w14:textId="6B0F33A6" w:rsidR="00D65823" w:rsidRPr="007E71BA" w:rsidRDefault="00D65823"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See: CRC/C/15/Add.268; CRC/C/AUS/CO/4; A/HRC/17/10; CEDAW/C/AUL/CO/7; CAT/C/AUS/CO/4-5; A/HRC/WG.6/10/L.8; CRPD/C/AUS/CO/1; A/HRC/31/14; A/HRC/22/53; CCPR/C/AUS/Q/6; FIGO (International Federation of </w:t>
      </w:r>
      <w:proofErr w:type="spellStart"/>
      <w:r w:rsidRPr="007E71BA">
        <w:rPr>
          <w:rFonts w:cstheme="minorHAnsi"/>
          <w:color w:val="000000" w:themeColor="text1"/>
          <w:sz w:val="16"/>
          <w:szCs w:val="16"/>
        </w:rPr>
        <w:t>Gynecology</w:t>
      </w:r>
      <w:proofErr w:type="spellEnd"/>
      <w:r w:rsidRPr="007E71BA">
        <w:rPr>
          <w:rFonts w:cstheme="minorHAnsi"/>
          <w:color w:val="000000" w:themeColor="text1"/>
          <w:sz w:val="16"/>
          <w:szCs w:val="16"/>
        </w:rPr>
        <w:t xml:space="preserve"> and Obstetrics), </w:t>
      </w:r>
      <w:hyperlink r:id="rId1" w:history="1">
        <w:r w:rsidRPr="007E71BA">
          <w:rPr>
            <w:rStyle w:val="Hyperlink"/>
            <w:rFonts w:cstheme="minorHAnsi"/>
            <w:color w:val="000000" w:themeColor="text1"/>
            <w:sz w:val="16"/>
            <w:szCs w:val="16"/>
          </w:rPr>
          <w:t>Female Contraceptive Sterilization</w:t>
        </w:r>
      </w:hyperlink>
      <w:r w:rsidRPr="007E71BA">
        <w:rPr>
          <w:rFonts w:cstheme="minorHAnsi"/>
          <w:color w:val="000000" w:themeColor="text1"/>
          <w:sz w:val="16"/>
          <w:szCs w:val="16"/>
        </w:rPr>
        <w:t xml:space="preserve">.  See also: World Medical Association (WMA) in conjunction with the International Federation of Health and Human Rights Organizations (IFHHRO) (2011) </w:t>
      </w:r>
      <w:hyperlink r:id="rId2" w:history="1">
        <w:r w:rsidRPr="007E71BA">
          <w:rPr>
            <w:rStyle w:val="Hyperlink"/>
            <w:rFonts w:cstheme="minorHAnsi"/>
            <w:color w:val="000000" w:themeColor="text1"/>
            <w:sz w:val="16"/>
            <w:szCs w:val="16"/>
          </w:rPr>
          <w:t>Global Bodies call for end to Forced Sterilization: Press Release</w:t>
        </w:r>
      </w:hyperlink>
      <w:r w:rsidRPr="007E71BA">
        <w:rPr>
          <w:rFonts w:cstheme="minorHAnsi"/>
          <w:color w:val="000000" w:themeColor="text1"/>
          <w:sz w:val="16"/>
          <w:szCs w:val="16"/>
        </w:rPr>
        <w:t>, 5 September 2011.</w:t>
      </w:r>
    </w:p>
  </w:endnote>
  <w:endnote w:id="18">
    <w:p w14:paraId="3B536837" w14:textId="16CDB863" w:rsidR="00AE4796" w:rsidRPr="007E71BA" w:rsidRDefault="00AE4796"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II</w:t>
      </w:r>
      <w:r w:rsidR="00666C62">
        <w:rPr>
          <w:rFonts w:cstheme="minorHAnsi"/>
          <w:color w:val="000000" w:themeColor="text1"/>
          <w:sz w:val="16"/>
          <w:szCs w:val="16"/>
        </w:rPr>
        <w:t>, 12.</w:t>
      </w:r>
    </w:p>
  </w:endnote>
  <w:endnote w:id="19">
    <w:p w14:paraId="2EA8C777" w14:textId="2B3DE322" w:rsidR="00A959FF" w:rsidRPr="007E71BA" w:rsidRDefault="00A959FF" w:rsidP="007E71BA">
      <w:pPr>
        <w:pStyle w:val="EndnoteText"/>
        <w:ind w:left="357" w:firstLine="0"/>
        <w:rPr>
          <w:rFonts w:cstheme="minorHAnsi"/>
          <w:color w:val="000000" w:themeColor="text1"/>
          <w:sz w:val="16"/>
          <w:szCs w:val="16"/>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w:t>
      </w:r>
      <w:r w:rsidR="007E71BA">
        <w:rPr>
          <w:rFonts w:cstheme="minorHAnsi"/>
          <w:color w:val="000000" w:themeColor="text1"/>
          <w:sz w:val="16"/>
          <w:szCs w:val="16"/>
        </w:rPr>
        <w:t xml:space="preserve">Draft Report </w:t>
      </w:r>
      <w:r w:rsidRPr="007E71BA">
        <w:rPr>
          <w:rFonts w:cstheme="minorHAnsi"/>
          <w:color w:val="000000" w:themeColor="text1"/>
          <w:sz w:val="16"/>
          <w:szCs w:val="16"/>
        </w:rPr>
        <w:t>Part III</w:t>
      </w:r>
      <w:r w:rsidR="00666C62">
        <w:rPr>
          <w:rFonts w:cstheme="minorHAnsi"/>
          <w:color w:val="000000" w:themeColor="text1"/>
          <w:sz w:val="16"/>
          <w:szCs w:val="16"/>
        </w:rPr>
        <w:t xml:space="preserve">, </w:t>
      </w:r>
      <w:r w:rsidRPr="007E71BA">
        <w:rPr>
          <w:rFonts w:cstheme="minorHAnsi"/>
          <w:color w:val="000000" w:themeColor="text1"/>
          <w:sz w:val="16"/>
          <w:szCs w:val="16"/>
        </w:rPr>
        <w:t>13</w:t>
      </w:r>
      <w:r w:rsidR="00666C62">
        <w:rPr>
          <w:rFonts w:cstheme="minorHAnsi"/>
          <w:color w:val="000000" w:themeColor="text1"/>
          <w:sz w:val="16"/>
          <w:szCs w:val="16"/>
        </w:rPr>
        <w:t>.1.</w:t>
      </w:r>
      <w:r w:rsidRPr="007E71BA">
        <w:rPr>
          <w:rFonts w:cstheme="minorHAnsi"/>
          <w:color w:val="000000" w:themeColor="text1"/>
          <w:sz w:val="16"/>
          <w:szCs w:val="16"/>
        </w:rPr>
        <w:t xml:space="preserve"> </w:t>
      </w:r>
    </w:p>
  </w:endnote>
  <w:endnote w:id="20">
    <w:p w14:paraId="323BC1E1" w14:textId="7AAEB902" w:rsidR="00D65823" w:rsidRPr="007E71BA" w:rsidRDefault="00D65823" w:rsidP="007E71BA">
      <w:pPr>
        <w:pStyle w:val="NormalWeb"/>
        <w:spacing w:before="0" w:beforeAutospacing="0" w:after="0" w:afterAutospacing="0"/>
        <w:ind w:left="360"/>
        <w:rPr>
          <w:rFonts w:asciiTheme="minorHAnsi" w:hAnsiTheme="minorHAnsi" w:cstheme="minorHAnsi"/>
          <w:color w:val="000000" w:themeColor="text1"/>
          <w:sz w:val="16"/>
          <w:szCs w:val="16"/>
        </w:rPr>
      </w:pPr>
      <w:r w:rsidRPr="007E71BA">
        <w:rPr>
          <w:rStyle w:val="EndnoteReference"/>
          <w:rFonts w:asciiTheme="minorHAnsi" w:hAnsiTheme="minorHAnsi" w:cstheme="minorHAnsi"/>
          <w:color w:val="000000" w:themeColor="text1"/>
          <w:sz w:val="16"/>
          <w:szCs w:val="16"/>
        </w:rPr>
        <w:endnoteRef/>
      </w:r>
      <w:r w:rsidRPr="007E71BA">
        <w:rPr>
          <w:rFonts w:asciiTheme="minorHAnsi" w:hAnsiTheme="minorHAnsi" w:cstheme="minorHAnsi"/>
          <w:color w:val="000000" w:themeColor="text1"/>
          <w:sz w:val="16"/>
          <w:szCs w:val="16"/>
        </w:rPr>
        <w:t xml:space="preserve"> </w:t>
      </w:r>
      <w:r w:rsidRPr="007E71BA">
        <w:rPr>
          <w:rFonts w:asciiTheme="minorHAnsi" w:eastAsiaTheme="minorHAnsi" w:hAnsiTheme="minorHAnsi" w:cstheme="minorHAnsi"/>
          <w:color w:val="000000" w:themeColor="text1"/>
          <w:kern w:val="2"/>
          <w:sz w:val="16"/>
          <w:szCs w:val="16"/>
          <w:lang w:eastAsia="en-US"/>
          <w14:ligatures w14:val="standardContextual"/>
        </w:rPr>
        <w:t>Committee on Economic, Social and Cultural Rights (2017) Concluding observations on the fifth periodic report of Australia; 11 July 2017; UN Doc. E/C.12/AUS/ CO/5.</w:t>
      </w:r>
    </w:p>
  </w:endnote>
  <w:endnote w:id="21">
    <w:p w14:paraId="47807CA7" w14:textId="75B48365" w:rsidR="00E63F88" w:rsidRPr="00840DB5" w:rsidRDefault="00E63F88" w:rsidP="007E71BA">
      <w:pPr>
        <w:pStyle w:val="EndnoteText"/>
        <w:ind w:left="360" w:firstLine="0"/>
        <w:rPr>
          <w:rFonts w:ascii="Calibri" w:hAnsi="Calibri" w:cs="Calibri"/>
          <w:sz w:val="18"/>
          <w:szCs w:val="18"/>
          <w:lang w:val="en-US"/>
        </w:rPr>
      </w:pPr>
      <w:r w:rsidRPr="007E71BA">
        <w:rPr>
          <w:rStyle w:val="EndnoteReference"/>
          <w:rFonts w:cstheme="minorHAnsi"/>
          <w:color w:val="000000" w:themeColor="text1"/>
          <w:sz w:val="16"/>
          <w:szCs w:val="16"/>
        </w:rPr>
        <w:endnoteRef/>
      </w:r>
      <w:r w:rsidRPr="007E71BA">
        <w:rPr>
          <w:rFonts w:cstheme="minorHAnsi"/>
          <w:color w:val="000000" w:themeColor="text1"/>
          <w:sz w:val="16"/>
          <w:szCs w:val="16"/>
        </w:rPr>
        <w:t xml:space="preserve"> Committee on the Rights of the Child, general comment No. 1 (2001) on the aims of education (at Para.67)</w:t>
      </w:r>
      <w:r w:rsidRPr="007E71BA">
        <w:rPr>
          <w:rFonts w:cstheme="minorHAnsi"/>
          <w:color w:val="000000" w:themeColor="text1"/>
          <w:sz w:val="16"/>
          <w:szCs w:val="16"/>
        </w:rPr>
        <w:t xml:space="preserve">; </w:t>
      </w:r>
      <w:r w:rsidRPr="007E71BA">
        <w:rPr>
          <w:rFonts w:cstheme="minorHAnsi"/>
          <w:color w:val="000000" w:themeColor="text1"/>
          <w:sz w:val="16"/>
          <w:szCs w:val="16"/>
          <w:lang w:val="en-US"/>
        </w:rPr>
        <w:t xml:space="preserve">Committee on the Rights of Persons with Disabilities, </w:t>
      </w:r>
      <w:r w:rsidRPr="007E71BA">
        <w:rPr>
          <w:rFonts w:cstheme="minorHAnsi"/>
          <w:i/>
          <w:color w:val="000000" w:themeColor="text1"/>
          <w:sz w:val="16"/>
          <w:szCs w:val="16"/>
          <w:lang w:val="en-US"/>
        </w:rPr>
        <w:t>General Comment No 4: Right to inclusive education,</w:t>
      </w:r>
      <w:r w:rsidRPr="007E71BA">
        <w:rPr>
          <w:rFonts w:cstheme="minorHAnsi"/>
          <w:color w:val="000000" w:themeColor="text1"/>
          <w:sz w:val="16"/>
          <w:szCs w:val="16"/>
          <w:lang w:val="en-US"/>
        </w:rPr>
        <w:t xml:space="preserve"> UN DOC CRPD/C/GC/4 (entered into force 2 September 2016), </w:t>
      </w:r>
      <w:r w:rsidRPr="007E71BA">
        <w:rPr>
          <w:rFonts w:cstheme="minorHAnsi"/>
          <w:color w:val="000000" w:themeColor="text1"/>
          <w:sz w:val="16"/>
          <w:szCs w:val="16"/>
        </w:rPr>
        <w:t>[39].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w:altName w:val="Tahoma"/>
    <w:panose1 w:val="020B06040202020202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CB77" w14:textId="77777777" w:rsidR="00D7741F" w:rsidRDefault="00D7741F" w:rsidP="005C42C2">
      <w:pPr>
        <w:spacing w:after="0" w:line="240" w:lineRule="auto"/>
      </w:pPr>
      <w:r>
        <w:separator/>
      </w:r>
    </w:p>
  </w:footnote>
  <w:footnote w:type="continuationSeparator" w:id="0">
    <w:p w14:paraId="48334115" w14:textId="77777777" w:rsidR="00D7741F" w:rsidRDefault="00D7741F" w:rsidP="005C4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4AE"/>
    <w:multiLevelType w:val="hybridMultilevel"/>
    <w:tmpl w:val="371EC7C2"/>
    <w:lvl w:ilvl="0" w:tplc="B6B601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FD6547"/>
    <w:multiLevelType w:val="hybridMultilevel"/>
    <w:tmpl w:val="43F4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C12C4"/>
    <w:multiLevelType w:val="hybridMultilevel"/>
    <w:tmpl w:val="30F803E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0C512B51"/>
    <w:multiLevelType w:val="hybridMultilevel"/>
    <w:tmpl w:val="D9AC558A"/>
    <w:lvl w:ilvl="0" w:tplc="80B4DCCE">
      <w:start w:val="1"/>
      <w:numFmt w:val="decimal"/>
      <w:lvlText w:val="%1."/>
      <w:lvlJc w:val="left"/>
      <w:pPr>
        <w:ind w:left="720" w:hanging="720"/>
      </w:pPr>
      <w:rPr>
        <w:rFonts w:asciiTheme="minorHAnsi" w:hAnsiTheme="minorHAns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66A78"/>
    <w:multiLevelType w:val="hybridMultilevel"/>
    <w:tmpl w:val="5AF6051E"/>
    <w:lvl w:ilvl="0" w:tplc="A2C02EA0">
      <w:start w:val="1"/>
      <w:numFmt w:val="decimal"/>
      <w:lvlText w:val="%1."/>
      <w:lvlJc w:val="left"/>
      <w:pPr>
        <w:ind w:left="1287" w:hanging="360"/>
      </w:pPr>
    </w:lvl>
    <w:lvl w:ilvl="1" w:tplc="2F588844">
      <w:start w:val="1"/>
      <w:numFmt w:val="lowerLetter"/>
      <w:lvlText w:val="%2."/>
      <w:lvlJc w:val="left"/>
      <w:pPr>
        <w:ind w:left="2217" w:hanging="360"/>
      </w:pPr>
    </w:lvl>
    <w:lvl w:ilvl="2" w:tplc="1FCE6990">
      <w:start w:val="1"/>
      <w:numFmt w:val="lowerRoman"/>
      <w:lvlText w:val="%3."/>
      <w:lvlJc w:val="right"/>
      <w:pPr>
        <w:ind w:left="2727" w:hanging="180"/>
      </w:pPr>
    </w:lvl>
    <w:lvl w:ilvl="3" w:tplc="4D2626A0">
      <w:start w:val="1"/>
      <w:numFmt w:val="decimal"/>
      <w:lvlText w:val="%4."/>
      <w:lvlJc w:val="left"/>
      <w:pPr>
        <w:ind w:left="3447" w:hanging="360"/>
      </w:pPr>
    </w:lvl>
    <w:lvl w:ilvl="4" w:tplc="1F08FFD2">
      <w:start w:val="1"/>
      <w:numFmt w:val="lowerLetter"/>
      <w:lvlText w:val="%5."/>
      <w:lvlJc w:val="left"/>
      <w:pPr>
        <w:ind w:left="4167" w:hanging="360"/>
      </w:pPr>
    </w:lvl>
    <w:lvl w:ilvl="5" w:tplc="E2FEDBDA">
      <w:start w:val="1"/>
      <w:numFmt w:val="lowerRoman"/>
      <w:lvlText w:val="%6."/>
      <w:lvlJc w:val="right"/>
      <w:pPr>
        <w:ind w:left="4887" w:hanging="180"/>
      </w:pPr>
    </w:lvl>
    <w:lvl w:ilvl="6" w:tplc="FD1831C8">
      <w:start w:val="1"/>
      <w:numFmt w:val="decimal"/>
      <w:lvlText w:val="%7."/>
      <w:lvlJc w:val="left"/>
      <w:pPr>
        <w:ind w:left="5607" w:hanging="360"/>
      </w:pPr>
    </w:lvl>
    <w:lvl w:ilvl="7" w:tplc="47169292">
      <w:start w:val="1"/>
      <w:numFmt w:val="lowerLetter"/>
      <w:lvlText w:val="%8."/>
      <w:lvlJc w:val="left"/>
      <w:pPr>
        <w:ind w:left="6327" w:hanging="360"/>
      </w:pPr>
    </w:lvl>
    <w:lvl w:ilvl="8" w:tplc="6E16D67E">
      <w:start w:val="1"/>
      <w:numFmt w:val="lowerRoman"/>
      <w:lvlText w:val="%9."/>
      <w:lvlJc w:val="right"/>
      <w:pPr>
        <w:ind w:left="7047" w:hanging="180"/>
      </w:pPr>
    </w:lvl>
  </w:abstractNum>
  <w:abstractNum w:abstractNumId="5" w15:restartNumberingAfterBreak="0">
    <w:nsid w:val="15D6559F"/>
    <w:multiLevelType w:val="hybridMultilevel"/>
    <w:tmpl w:val="1682C386"/>
    <w:lvl w:ilvl="0" w:tplc="FF5054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FF6DA5"/>
    <w:multiLevelType w:val="multilevel"/>
    <w:tmpl w:val="58202EA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42AC7"/>
    <w:multiLevelType w:val="hybridMultilevel"/>
    <w:tmpl w:val="5B8A58D4"/>
    <w:lvl w:ilvl="0" w:tplc="FFFFFFFF">
      <w:start w:val="1"/>
      <w:numFmt w:val="decimal"/>
      <w:lvlText w:val="%1."/>
      <w:lvlJc w:val="left"/>
      <w:pPr>
        <w:ind w:left="927" w:hanging="360"/>
      </w:pPr>
    </w:lvl>
    <w:lvl w:ilvl="1" w:tplc="FFFFFFFF">
      <w:start w:val="1"/>
      <w:numFmt w:val="lowerLetter"/>
      <w:lvlText w:val="(%2)"/>
      <w:lvlJc w:val="left"/>
      <w:pPr>
        <w:ind w:left="1857" w:hanging="57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24AF1312"/>
    <w:multiLevelType w:val="hybridMultilevel"/>
    <w:tmpl w:val="DC1EF8D4"/>
    <w:lvl w:ilvl="0" w:tplc="7AB02374">
      <w:start w:val="1"/>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760CC2"/>
    <w:multiLevelType w:val="hybridMultilevel"/>
    <w:tmpl w:val="05F4AC98"/>
    <w:lvl w:ilvl="0" w:tplc="63EE34EE">
      <w:start w:val="1"/>
      <w:numFmt w:val="bullet"/>
      <w:lvlText w:val="-"/>
      <w:lvlJc w:val="left"/>
      <w:pPr>
        <w:ind w:left="717" w:hanging="360"/>
      </w:pPr>
      <w:rPr>
        <w:rFonts w:ascii="Times New Roman" w:eastAsiaTheme="minorHAnsi" w:hAnsi="Times New Roman" w:cs="Times New Roman"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7A94001"/>
    <w:multiLevelType w:val="hybridMultilevel"/>
    <w:tmpl w:val="70E69446"/>
    <w:lvl w:ilvl="0" w:tplc="B6B601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D77616"/>
    <w:multiLevelType w:val="hybridMultilevel"/>
    <w:tmpl w:val="E4FE771E"/>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37CE224C"/>
    <w:multiLevelType w:val="multilevel"/>
    <w:tmpl w:val="CA7461F2"/>
    <w:lvl w:ilvl="0">
      <w:start w:val="2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99693E"/>
    <w:multiLevelType w:val="hybridMultilevel"/>
    <w:tmpl w:val="71344044"/>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39E41298"/>
    <w:multiLevelType w:val="hybridMultilevel"/>
    <w:tmpl w:val="6140531C"/>
    <w:lvl w:ilvl="0" w:tplc="0C09000F">
      <w:start w:val="1"/>
      <w:numFmt w:val="decimal"/>
      <w:lvlText w:val="%1."/>
      <w:lvlJc w:val="left"/>
      <w:pPr>
        <w:ind w:left="1287" w:hanging="360"/>
      </w:pPr>
    </w:lvl>
    <w:lvl w:ilvl="1" w:tplc="FFFFFFFF">
      <w:start w:val="1"/>
      <w:numFmt w:val="lowerLetter"/>
      <w:lvlText w:val="(%2)"/>
      <w:lvlJc w:val="left"/>
      <w:pPr>
        <w:ind w:left="2217" w:hanging="57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3A79C6B9"/>
    <w:multiLevelType w:val="hybridMultilevel"/>
    <w:tmpl w:val="1BCCA796"/>
    <w:lvl w:ilvl="0" w:tplc="AEF44D66">
      <w:start w:val="22"/>
      <w:numFmt w:val="decimal"/>
      <w:lvlText w:val="%1."/>
      <w:lvlJc w:val="left"/>
      <w:pPr>
        <w:ind w:left="927" w:hanging="360"/>
      </w:pPr>
    </w:lvl>
    <w:lvl w:ilvl="1" w:tplc="C8F62486">
      <w:start w:val="1"/>
      <w:numFmt w:val="lowerLetter"/>
      <w:lvlText w:val="%2."/>
      <w:lvlJc w:val="left"/>
      <w:pPr>
        <w:ind w:left="1857" w:hanging="360"/>
      </w:pPr>
    </w:lvl>
    <w:lvl w:ilvl="2" w:tplc="91063E28">
      <w:start w:val="1"/>
      <w:numFmt w:val="lowerRoman"/>
      <w:lvlText w:val="%3."/>
      <w:lvlJc w:val="right"/>
      <w:pPr>
        <w:ind w:left="2367" w:hanging="180"/>
      </w:pPr>
    </w:lvl>
    <w:lvl w:ilvl="3" w:tplc="193456DA">
      <w:start w:val="1"/>
      <w:numFmt w:val="decimal"/>
      <w:lvlText w:val="%4."/>
      <w:lvlJc w:val="left"/>
      <w:pPr>
        <w:ind w:left="3087" w:hanging="360"/>
      </w:pPr>
    </w:lvl>
    <w:lvl w:ilvl="4" w:tplc="60ECBAAC">
      <w:start w:val="1"/>
      <w:numFmt w:val="lowerLetter"/>
      <w:lvlText w:val="%5."/>
      <w:lvlJc w:val="left"/>
      <w:pPr>
        <w:ind w:left="3807" w:hanging="360"/>
      </w:pPr>
    </w:lvl>
    <w:lvl w:ilvl="5" w:tplc="F10E52F4">
      <w:start w:val="1"/>
      <w:numFmt w:val="lowerRoman"/>
      <w:lvlText w:val="%6."/>
      <w:lvlJc w:val="right"/>
      <w:pPr>
        <w:ind w:left="4527" w:hanging="180"/>
      </w:pPr>
    </w:lvl>
    <w:lvl w:ilvl="6" w:tplc="D3920D14">
      <w:start w:val="1"/>
      <w:numFmt w:val="decimal"/>
      <w:lvlText w:val="%7."/>
      <w:lvlJc w:val="left"/>
      <w:pPr>
        <w:ind w:left="5247" w:hanging="360"/>
      </w:pPr>
    </w:lvl>
    <w:lvl w:ilvl="7" w:tplc="22020C5A">
      <w:start w:val="1"/>
      <w:numFmt w:val="lowerLetter"/>
      <w:lvlText w:val="%8."/>
      <w:lvlJc w:val="left"/>
      <w:pPr>
        <w:ind w:left="5967" w:hanging="360"/>
      </w:pPr>
    </w:lvl>
    <w:lvl w:ilvl="8" w:tplc="3272BEE2">
      <w:start w:val="1"/>
      <w:numFmt w:val="lowerRoman"/>
      <w:lvlText w:val="%9."/>
      <w:lvlJc w:val="right"/>
      <w:pPr>
        <w:ind w:left="6687" w:hanging="180"/>
      </w:pPr>
    </w:lvl>
  </w:abstractNum>
  <w:abstractNum w:abstractNumId="16" w15:restartNumberingAfterBreak="0">
    <w:nsid w:val="421445B9"/>
    <w:multiLevelType w:val="hybridMultilevel"/>
    <w:tmpl w:val="8D3A7C70"/>
    <w:lvl w:ilvl="0" w:tplc="B6B6012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39509A"/>
    <w:multiLevelType w:val="hybridMultilevel"/>
    <w:tmpl w:val="1BCCA796"/>
    <w:lvl w:ilvl="0" w:tplc="FFFFFFFF">
      <w:start w:val="22"/>
      <w:numFmt w:val="decimal"/>
      <w:lvlText w:val="%1."/>
      <w:lvlJc w:val="left"/>
      <w:pPr>
        <w:ind w:left="927" w:hanging="360"/>
      </w:pPr>
    </w:lvl>
    <w:lvl w:ilvl="1" w:tplc="FFFFFFFF">
      <w:start w:val="1"/>
      <w:numFmt w:val="lowerLetter"/>
      <w:lvlText w:val="%2."/>
      <w:lvlJc w:val="left"/>
      <w:pPr>
        <w:ind w:left="185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8" w15:restartNumberingAfterBreak="0">
    <w:nsid w:val="44B76219"/>
    <w:multiLevelType w:val="hybridMultilevel"/>
    <w:tmpl w:val="87D686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F63C21"/>
    <w:multiLevelType w:val="hybridMultilevel"/>
    <w:tmpl w:val="0A048F5A"/>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0" w15:restartNumberingAfterBreak="0">
    <w:nsid w:val="488A11C6"/>
    <w:multiLevelType w:val="hybridMultilevel"/>
    <w:tmpl w:val="5B8A58D4"/>
    <w:lvl w:ilvl="0" w:tplc="FFFFFFFF">
      <w:start w:val="1"/>
      <w:numFmt w:val="decimal"/>
      <w:lvlText w:val="%1."/>
      <w:lvlJc w:val="left"/>
      <w:pPr>
        <w:ind w:left="927" w:hanging="360"/>
      </w:pPr>
    </w:lvl>
    <w:lvl w:ilvl="1" w:tplc="7A4C1394">
      <w:start w:val="1"/>
      <w:numFmt w:val="lowerLetter"/>
      <w:lvlText w:val="(%2)"/>
      <w:lvlJc w:val="left"/>
      <w:pPr>
        <w:ind w:left="1857" w:hanging="57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90D461F"/>
    <w:multiLevelType w:val="hybridMultilevel"/>
    <w:tmpl w:val="87D686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87D0246"/>
    <w:multiLevelType w:val="hybridMultilevel"/>
    <w:tmpl w:val="5B8A58D4"/>
    <w:lvl w:ilvl="0" w:tplc="FFFFFFFF">
      <w:start w:val="1"/>
      <w:numFmt w:val="decimal"/>
      <w:lvlText w:val="%1."/>
      <w:lvlJc w:val="left"/>
      <w:pPr>
        <w:ind w:left="927" w:hanging="360"/>
      </w:pPr>
    </w:lvl>
    <w:lvl w:ilvl="1" w:tplc="FFFFFFFF">
      <w:start w:val="1"/>
      <w:numFmt w:val="lowerLetter"/>
      <w:lvlText w:val="(%2)"/>
      <w:lvlJc w:val="left"/>
      <w:pPr>
        <w:ind w:left="1857" w:hanging="57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5A897E60"/>
    <w:multiLevelType w:val="multilevel"/>
    <w:tmpl w:val="1D9E915E"/>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E493F"/>
    <w:multiLevelType w:val="hybridMultilevel"/>
    <w:tmpl w:val="57A274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7118651B"/>
    <w:multiLevelType w:val="hybridMultilevel"/>
    <w:tmpl w:val="7400B7F0"/>
    <w:lvl w:ilvl="0" w:tplc="FFFFFFFF">
      <w:start w:val="1"/>
      <w:numFmt w:val="decimal"/>
      <w:lvlText w:val="%1."/>
      <w:lvlJc w:val="left"/>
      <w:pPr>
        <w:ind w:left="1287" w:hanging="360"/>
      </w:pPr>
    </w:lvl>
    <w:lvl w:ilvl="1" w:tplc="FFFFFFFF">
      <w:start w:val="1"/>
      <w:numFmt w:val="lowerLetter"/>
      <w:lvlText w:val="(%2)"/>
      <w:lvlJc w:val="left"/>
      <w:pPr>
        <w:ind w:left="2217" w:hanging="570"/>
      </w:pPr>
      <w:rPr>
        <w:rFonts w:hint="default"/>
      </w:r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6" w15:restartNumberingAfterBreak="0">
    <w:nsid w:val="738C0237"/>
    <w:multiLevelType w:val="multilevel"/>
    <w:tmpl w:val="5B66D3D0"/>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80149E"/>
    <w:multiLevelType w:val="multilevel"/>
    <w:tmpl w:val="2C02D4D6"/>
    <w:lvl w:ilvl="0">
      <w:start w:val="3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4E72C7"/>
    <w:multiLevelType w:val="hybridMultilevel"/>
    <w:tmpl w:val="3954C670"/>
    <w:lvl w:ilvl="0" w:tplc="63EE34EE">
      <w:start w:val="1"/>
      <w:numFmt w:val="bullet"/>
      <w:lvlText w:val="-"/>
      <w:lvlJc w:val="left"/>
      <w:pPr>
        <w:ind w:left="1074" w:hanging="360"/>
      </w:pPr>
      <w:rPr>
        <w:rFonts w:ascii="Times New Roman" w:eastAsiaTheme="minorHAnsi" w:hAnsi="Times New Roman" w:cs="Times New Roman"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312368677">
    <w:abstractNumId w:val="19"/>
  </w:num>
  <w:num w:numId="2" w16cid:durableId="2145344200">
    <w:abstractNumId w:val="1"/>
  </w:num>
  <w:num w:numId="3" w16cid:durableId="1883443955">
    <w:abstractNumId w:val="3"/>
  </w:num>
  <w:num w:numId="4" w16cid:durableId="172767801">
    <w:abstractNumId w:val="14"/>
  </w:num>
  <w:num w:numId="5" w16cid:durableId="1701394892">
    <w:abstractNumId w:val="18"/>
  </w:num>
  <w:num w:numId="6" w16cid:durableId="803085322">
    <w:abstractNumId w:val="24"/>
  </w:num>
  <w:num w:numId="7" w16cid:durableId="1971478400">
    <w:abstractNumId w:val="2"/>
  </w:num>
  <w:num w:numId="8" w16cid:durableId="1682314940">
    <w:abstractNumId w:val="21"/>
  </w:num>
  <w:num w:numId="9" w16cid:durableId="970786088">
    <w:abstractNumId w:val="5"/>
  </w:num>
  <w:num w:numId="10" w16cid:durableId="1601989096">
    <w:abstractNumId w:val="25"/>
  </w:num>
  <w:num w:numId="11" w16cid:durableId="170878418">
    <w:abstractNumId w:val="13"/>
  </w:num>
  <w:num w:numId="12" w16cid:durableId="308436485">
    <w:abstractNumId w:val="9"/>
  </w:num>
  <w:num w:numId="13" w16cid:durableId="1473140039">
    <w:abstractNumId w:val="20"/>
  </w:num>
  <w:num w:numId="14" w16cid:durableId="1421558549">
    <w:abstractNumId w:val="22"/>
  </w:num>
  <w:num w:numId="15" w16cid:durableId="1362851880">
    <w:abstractNumId w:val="7"/>
  </w:num>
  <w:num w:numId="16" w16cid:durableId="2115855572">
    <w:abstractNumId w:val="11"/>
  </w:num>
  <w:num w:numId="17" w16cid:durableId="279147145">
    <w:abstractNumId w:val="15"/>
  </w:num>
  <w:num w:numId="18" w16cid:durableId="1860508506">
    <w:abstractNumId w:val="4"/>
  </w:num>
  <w:num w:numId="19" w16cid:durableId="1673216701">
    <w:abstractNumId w:val="17"/>
  </w:num>
  <w:num w:numId="20" w16cid:durableId="763648662">
    <w:abstractNumId w:val="28"/>
  </w:num>
  <w:num w:numId="21" w16cid:durableId="1914316316">
    <w:abstractNumId w:val="0"/>
    <w:lvlOverride w:ilvl="0"/>
    <w:lvlOverride w:ilvl="1"/>
    <w:lvlOverride w:ilvl="2"/>
    <w:lvlOverride w:ilvl="3"/>
    <w:lvlOverride w:ilvl="4"/>
    <w:lvlOverride w:ilvl="5"/>
    <w:lvlOverride w:ilvl="6"/>
    <w:lvlOverride w:ilvl="7"/>
    <w:lvlOverride w:ilvl="8"/>
  </w:num>
  <w:num w:numId="22" w16cid:durableId="1714037150">
    <w:abstractNumId w:val="16"/>
    <w:lvlOverride w:ilvl="0"/>
    <w:lvlOverride w:ilvl="1"/>
    <w:lvlOverride w:ilvl="2"/>
    <w:lvlOverride w:ilvl="3"/>
    <w:lvlOverride w:ilvl="4"/>
    <w:lvlOverride w:ilvl="5"/>
    <w:lvlOverride w:ilvl="6"/>
    <w:lvlOverride w:ilvl="7"/>
    <w:lvlOverride w:ilvl="8"/>
  </w:num>
  <w:num w:numId="23" w16cid:durableId="961955192">
    <w:abstractNumId w:val="10"/>
    <w:lvlOverride w:ilvl="0"/>
    <w:lvlOverride w:ilvl="1"/>
    <w:lvlOverride w:ilvl="2"/>
    <w:lvlOverride w:ilvl="3"/>
    <w:lvlOverride w:ilvl="4"/>
    <w:lvlOverride w:ilvl="5"/>
    <w:lvlOverride w:ilvl="6"/>
    <w:lvlOverride w:ilvl="7"/>
    <w:lvlOverride w:ilvl="8"/>
  </w:num>
  <w:num w:numId="24" w16cid:durableId="1302690651">
    <w:abstractNumId w:val="8"/>
  </w:num>
  <w:num w:numId="25" w16cid:durableId="258760599">
    <w:abstractNumId w:val="6"/>
  </w:num>
  <w:num w:numId="26" w16cid:durableId="290206748">
    <w:abstractNumId w:val="23"/>
  </w:num>
  <w:num w:numId="27" w16cid:durableId="1964336387">
    <w:abstractNumId w:val="26"/>
  </w:num>
  <w:num w:numId="28" w16cid:durableId="240070081">
    <w:abstractNumId w:val="27"/>
  </w:num>
  <w:num w:numId="29" w16cid:durableId="18947366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C2"/>
    <w:rsid w:val="0005632F"/>
    <w:rsid w:val="00080917"/>
    <w:rsid w:val="000C7C8C"/>
    <w:rsid w:val="000E74F3"/>
    <w:rsid w:val="001711E4"/>
    <w:rsid w:val="00217FA1"/>
    <w:rsid w:val="002B3B66"/>
    <w:rsid w:val="00314EA8"/>
    <w:rsid w:val="00403894"/>
    <w:rsid w:val="0050360D"/>
    <w:rsid w:val="00586911"/>
    <w:rsid w:val="005B3FB2"/>
    <w:rsid w:val="005C42C2"/>
    <w:rsid w:val="005E54AD"/>
    <w:rsid w:val="005E6F8E"/>
    <w:rsid w:val="0060450F"/>
    <w:rsid w:val="00627B20"/>
    <w:rsid w:val="00635163"/>
    <w:rsid w:val="00666C62"/>
    <w:rsid w:val="0074313D"/>
    <w:rsid w:val="0077716D"/>
    <w:rsid w:val="0079107D"/>
    <w:rsid w:val="007A7AC2"/>
    <w:rsid w:val="007E71BA"/>
    <w:rsid w:val="00874565"/>
    <w:rsid w:val="009B533B"/>
    <w:rsid w:val="00A016A8"/>
    <w:rsid w:val="00A35BD5"/>
    <w:rsid w:val="00A959FF"/>
    <w:rsid w:val="00AA69E7"/>
    <w:rsid w:val="00AE4796"/>
    <w:rsid w:val="00AF3401"/>
    <w:rsid w:val="00B8023D"/>
    <w:rsid w:val="00C71435"/>
    <w:rsid w:val="00D65823"/>
    <w:rsid w:val="00D7741F"/>
    <w:rsid w:val="00DC66AA"/>
    <w:rsid w:val="00E63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F57DD61"/>
  <w15:chartTrackingRefBased/>
  <w15:docId w15:val="{558E4512-0D97-7B49-AA8D-83052C28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59" w:lineRule="auto"/>
        <w:ind w:left="1077"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5C42C2"/>
    <w:pPr>
      <w:spacing w:after="0" w:line="240" w:lineRule="auto"/>
      <w:ind w:left="720" w:firstLine="0"/>
      <w:contextualSpacing/>
    </w:pPr>
    <w:rPr>
      <w:rFonts w:eastAsiaTheme="minorEastAsia"/>
      <w:kern w:val="0"/>
      <w14:ligatures w14:val="none"/>
    </w:rPr>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n"/>
    <w:basedOn w:val="Normal"/>
    <w:link w:val="FootnoteTextChar"/>
    <w:uiPriority w:val="99"/>
    <w:unhideWhenUsed/>
    <w:qFormat/>
    <w:rsid w:val="005C42C2"/>
    <w:pPr>
      <w:spacing w:after="0" w:line="240" w:lineRule="auto"/>
      <w:ind w:left="0" w:firstLine="0"/>
    </w:pPr>
    <w:rPr>
      <w:rFonts w:eastAsiaTheme="minorEastAsia"/>
      <w:kern w:val="0"/>
      <w:sz w:val="20"/>
      <w:szCs w:val="20"/>
      <w14:ligatures w14:val="none"/>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single space Char Char"/>
    <w:basedOn w:val="DefaultParagraphFont"/>
    <w:link w:val="FootnoteText"/>
    <w:uiPriority w:val="99"/>
    <w:rsid w:val="005C42C2"/>
    <w:rPr>
      <w:rFonts w:eastAsiaTheme="minorEastAsia"/>
      <w:kern w:val="0"/>
      <w:sz w:val="20"/>
      <w:szCs w:val="20"/>
      <w14:ligatures w14:val="none"/>
    </w:rPr>
  </w:style>
  <w:style w:type="character" w:styleId="FootnoteReference">
    <w:name w:val="footnote reference"/>
    <w:aliases w:val="Footnotes refss,Ref,de nota al pie,opcalrc,callout,NO,Footnote number,Footnote,4_G Char Char Char Char,Footnotes refss Char Char Char Char,ftref Char Char Char Char,BVI fnr Char Char Char Char,BVI fnr Car Car Char Char Char Char,4_G,f"/>
    <w:basedOn w:val="DefaultParagraphFont"/>
    <w:link w:val="4GCharCharChar"/>
    <w:uiPriority w:val="99"/>
    <w:unhideWhenUsed/>
    <w:qFormat/>
    <w:rsid w:val="005C42C2"/>
    <w:rPr>
      <w:vertAlign w:val="superscript"/>
    </w:rPr>
  </w:style>
  <w:style w:type="character" w:styleId="Hyperlink">
    <w:name w:val="Hyperlink"/>
    <w:uiPriority w:val="99"/>
    <w:rsid w:val="005C42C2"/>
    <w:rPr>
      <w:color w:val="0000FF"/>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5C42C2"/>
    <w:pPr>
      <w:spacing w:before="120" w:after="120" w:line="240" w:lineRule="exact"/>
      <w:ind w:left="0" w:firstLine="0"/>
      <w:jc w:val="both"/>
    </w:pPr>
    <w:rPr>
      <w:vertAlign w:val="superscript"/>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5C42C2"/>
    <w:rPr>
      <w:rFonts w:eastAsiaTheme="minorEastAsia"/>
      <w:kern w:val="0"/>
      <w14:ligatures w14:val="none"/>
    </w:rPr>
  </w:style>
  <w:style w:type="paragraph" w:styleId="EndnoteText">
    <w:name w:val="endnote text"/>
    <w:aliases w:val="2_G"/>
    <w:basedOn w:val="Normal"/>
    <w:link w:val="EndnoteTextChar"/>
    <w:uiPriority w:val="99"/>
    <w:unhideWhenUsed/>
    <w:qFormat/>
    <w:rsid w:val="005C42C2"/>
    <w:pPr>
      <w:spacing w:after="0" w:line="240" w:lineRule="auto"/>
    </w:pPr>
    <w:rPr>
      <w:sz w:val="20"/>
      <w:szCs w:val="20"/>
    </w:rPr>
  </w:style>
  <w:style w:type="character" w:customStyle="1" w:styleId="EndnoteTextChar">
    <w:name w:val="Endnote Text Char"/>
    <w:aliases w:val="2_G Char"/>
    <w:basedOn w:val="DefaultParagraphFont"/>
    <w:link w:val="EndnoteText"/>
    <w:uiPriority w:val="99"/>
    <w:rsid w:val="005C42C2"/>
    <w:rPr>
      <w:sz w:val="20"/>
      <w:szCs w:val="20"/>
    </w:rPr>
  </w:style>
  <w:style w:type="character" w:styleId="EndnoteReference">
    <w:name w:val="endnote reference"/>
    <w:aliases w:val="1_G"/>
    <w:basedOn w:val="DefaultParagraphFont"/>
    <w:uiPriority w:val="99"/>
    <w:unhideWhenUsed/>
    <w:qFormat/>
    <w:rsid w:val="005C42C2"/>
    <w:rPr>
      <w:vertAlign w:val="superscript"/>
    </w:rPr>
  </w:style>
  <w:style w:type="character" w:styleId="CommentReference">
    <w:name w:val="annotation reference"/>
    <w:basedOn w:val="DefaultParagraphFont"/>
    <w:uiPriority w:val="99"/>
    <w:semiHidden/>
    <w:unhideWhenUsed/>
    <w:rsid w:val="00AF3401"/>
    <w:rPr>
      <w:sz w:val="16"/>
      <w:szCs w:val="16"/>
    </w:rPr>
  </w:style>
  <w:style w:type="paragraph" w:customStyle="1" w:styleId="SingleTxtG">
    <w:name w:val="_ Single Txt_G"/>
    <w:basedOn w:val="Normal"/>
    <w:link w:val="SingleTxtGChar"/>
    <w:rsid w:val="0077716D"/>
    <w:pPr>
      <w:tabs>
        <w:tab w:val="left" w:pos="1701"/>
        <w:tab w:val="left" w:pos="2268"/>
      </w:tabs>
      <w:suppressAutoHyphens/>
      <w:spacing w:after="120" w:line="240" w:lineRule="atLeast"/>
      <w:ind w:left="1134" w:right="1134" w:firstLine="0"/>
      <w:jc w:val="both"/>
    </w:pPr>
    <w:rPr>
      <w:rFonts w:ascii="Times New Roman" w:eastAsia="SimSun" w:hAnsi="Times New Roman" w:cs="Times New Roman"/>
      <w:kern w:val="0"/>
      <w:sz w:val="20"/>
      <w:szCs w:val="20"/>
      <w:lang w:val="en-GB" w:eastAsia="zh-CN"/>
      <w14:ligatures w14:val="none"/>
    </w:rPr>
  </w:style>
  <w:style w:type="character" w:customStyle="1" w:styleId="SingleTxtGChar">
    <w:name w:val="_ Single Txt_G Char"/>
    <w:basedOn w:val="DefaultParagraphFont"/>
    <w:link w:val="SingleTxtG"/>
    <w:rsid w:val="0077716D"/>
    <w:rPr>
      <w:rFonts w:ascii="Times New Roman" w:eastAsia="SimSun" w:hAnsi="Times New Roman" w:cs="Times New Roman"/>
      <w:kern w:val="0"/>
      <w:sz w:val="20"/>
      <w:szCs w:val="20"/>
      <w:lang w:val="en-GB" w:eastAsia="zh-CN"/>
      <w14:ligatures w14:val="none"/>
    </w:rPr>
  </w:style>
  <w:style w:type="paragraph" w:styleId="Footer">
    <w:name w:val="footer"/>
    <w:basedOn w:val="Normal"/>
    <w:link w:val="FooterChar"/>
    <w:uiPriority w:val="99"/>
    <w:unhideWhenUsed/>
    <w:rsid w:val="00403894"/>
    <w:pPr>
      <w:tabs>
        <w:tab w:val="center" w:pos="4513"/>
        <w:tab w:val="right" w:pos="9026"/>
      </w:tabs>
      <w:spacing w:after="0" w:line="240" w:lineRule="auto"/>
      <w:ind w:left="0" w:firstLine="0"/>
    </w:pPr>
    <w:rPr>
      <w:rFonts w:eastAsiaTheme="minorEastAsia"/>
      <w:kern w:val="0"/>
      <w14:ligatures w14:val="none"/>
    </w:rPr>
  </w:style>
  <w:style w:type="character" w:customStyle="1" w:styleId="FooterChar">
    <w:name w:val="Footer Char"/>
    <w:basedOn w:val="DefaultParagraphFont"/>
    <w:link w:val="Footer"/>
    <w:uiPriority w:val="99"/>
    <w:rsid w:val="00403894"/>
    <w:rPr>
      <w:rFonts w:eastAsiaTheme="minorEastAsia"/>
      <w:kern w:val="0"/>
      <w14:ligatures w14:val="none"/>
    </w:rPr>
  </w:style>
  <w:style w:type="character" w:styleId="Emphasis">
    <w:name w:val="Emphasis"/>
    <w:uiPriority w:val="20"/>
    <w:qFormat/>
    <w:rsid w:val="00403894"/>
    <w:rPr>
      <w:i/>
      <w:iCs/>
    </w:rPr>
  </w:style>
  <w:style w:type="paragraph" w:styleId="NoSpacing">
    <w:name w:val="No Spacing"/>
    <w:basedOn w:val="Normal"/>
    <w:next w:val="Normal"/>
    <w:link w:val="NoSpacingChar"/>
    <w:uiPriority w:val="1"/>
    <w:qFormat/>
    <w:rsid w:val="0005632F"/>
    <w:pPr>
      <w:spacing w:after="0" w:line="276" w:lineRule="auto"/>
      <w:ind w:left="0" w:right="-7" w:firstLine="0"/>
      <w:jc w:val="both"/>
    </w:pPr>
    <w:rPr>
      <w:rFonts w:ascii="Cambria" w:eastAsia="MS Mincho" w:hAnsi="Cambria" w:cs="Calibri"/>
      <w:bCs/>
      <w:color w:val="404040"/>
      <w:kern w:val="0"/>
      <w:sz w:val="20"/>
      <w:szCs w:val="20"/>
      <w:lang w:val="en-US" w:eastAsia="en-AU"/>
      <w14:ligatures w14:val="none"/>
    </w:rPr>
  </w:style>
  <w:style w:type="character" w:customStyle="1" w:styleId="NoSpacingChar">
    <w:name w:val="No Spacing Char"/>
    <w:basedOn w:val="DefaultParagraphFont"/>
    <w:link w:val="NoSpacing"/>
    <w:uiPriority w:val="1"/>
    <w:rsid w:val="0005632F"/>
    <w:rPr>
      <w:rFonts w:ascii="Cambria" w:eastAsia="MS Mincho" w:hAnsi="Cambria" w:cs="Calibri"/>
      <w:bCs/>
      <w:color w:val="404040"/>
      <w:kern w:val="0"/>
      <w:sz w:val="20"/>
      <w:szCs w:val="20"/>
      <w:lang w:val="en-US" w:eastAsia="en-AU"/>
      <w14:ligatures w14:val="none"/>
    </w:rPr>
  </w:style>
  <w:style w:type="character" w:customStyle="1" w:styleId="BodyTypeEmphasisBlue">
    <w:name w:val="BodyType_Emphasis_Blue"/>
    <w:basedOn w:val="DefaultParagraphFont"/>
    <w:uiPriority w:val="99"/>
    <w:rsid w:val="00874565"/>
    <w:rPr>
      <w:rFonts w:ascii="Proxima Nova" w:hAnsi="Proxima Nova" w:cs="Proxima Nova"/>
      <w:color w:val="0F427B"/>
      <w:spacing w:val="0"/>
      <w:sz w:val="18"/>
      <w:szCs w:val="18"/>
    </w:rPr>
  </w:style>
  <w:style w:type="character" w:customStyle="1" w:styleId="markedcontent">
    <w:name w:val="markedcontent"/>
    <w:basedOn w:val="DefaultParagraphFont"/>
    <w:rsid w:val="00874565"/>
  </w:style>
  <w:style w:type="paragraph" w:styleId="NormalWeb">
    <w:name w:val="Normal (Web)"/>
    <w:basedOn w:val="Normal"/>
    <w:uiPriority w:val="99"/>
    <w:unhideWhenUsed/>
    <w:rsid w:val="0074313D"/>
    <w:pPr>
      <w:spacing w:before="100" w:beforeAutospacing="1" w:after="100" w:afterAutospacing="1" w:line="240" w:lineRule="auto"/>
      <w:ind w:left="0" w:firstLine="0"/>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5B3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18198">
      <w:bodyDiv w:val="1"/>
      <w:marLeft w:val="0"/>
      <w:marRight w:val="0"/>
      <w:marTop w:val="0"/>
      <w:marBottom w:val="0"/>
      <w:divBdr>
        <w:top w:val="none" w:sz="0" w:space="0" w:color="auto"/>
        <w:left w:val="none" w:sz="0" w:space="0" w:color="auto"/>
        <w:bottom w:val="none" w:sz="0" w:space="0" w:color="auto"/>
        <w:right w:val="none" w:sz="0" w:space="0" w:color="auto"/>
      </w:divBdr>
      <w:divsChild>
        <w:div w:id="2095783728">
          <w:marLeft w:val="0"/>
          <w:marRight w:val="0"/>
          <w:marTop w:val="0"/>
          <w:marBottom w:val="0"/>
          <w:divBdr>
            <w:top w:val="none" w:sz="0" w:space="0" w:color="auto"/>
            <w:left w:val="none" w:sz="0" w:space="0" w:color="auto"/>
            <w:bottom w:val="none" w:sz="0" w:space="0" w:color="auto"/>
            <w:right w:val="none" w:sz="0" w:space="0" w:color="auto"/>
          </w:divBdr>
          <w:divsChild>
            <w:div w:id="779645476">
              <w:marLeft w:val="0"/>
              <w:marRight w:val="0"/>
              <w:marTop w:val="0"/>
              <w:marBottom w:val="0"/>
              <w:divBdr>
                <w:top w:val="none" w:sz="0" w:space="0" w:color="auto"/>
                <w:left w:val="none" w:sz="0" w:space="0" w:color="auto"/>
                <w:bottom w:val="none" w:sz="0" w:space="0" w:color="auto"/>
                <w:right w:val="none" w:sz="0" w:space="0" w:color="auto"/>
              </w:divBdr>
              <w:divsChild>
                <w:div w:id="683021418">
                  <w:marLeft w:val="0"/>
                  <w:marRight w:val="0"/>
                  <w:marTop w:val="0"/>
                  <w:marBottom w:val="0"/>
                  <w:divBdr>
                    <w:top w:val="none" w:sz="0" w:space="0" w:color="auto"/>
                    <w:left w:val="none" w:sz="0" w:space="0" w:color="auto"/>
                    <w:bottom w:val="none" w:sz="0" w:space="0" w:color="auto"/>
                    <w:right w:val="none" w:sz="0" w:space="0" w:color="auto"/>
                  </w:divBdr>
                  <w:divsChild>
                    <w:div w:id="456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4139">
      <w:bodyDiv w:val="1"/>
      <w:marLeft w:val="0"/>
      <w:marRight w:val="0"/>
      <w:marTop w:val="0"/>
      <w:marBottom w:val="0"/>
      <w:divBdr>
        <w:top w:val="none" w:sz="0" w:space="0" w:color="auto"/>
        <w:left w:val="none" w:sz="0" w:space="0" w:color="auto"/>
        <w:bottom w:val="none" w:sz="0" w:space="0" w:color="auto"/>
        <w:right w:val="none" w:sz="0" w:space="0" w:color="auto"/>
      </w:divBdr>
      <w:divsChild>
        <w:div w:id="962344894">
          <w:marLeft w:val="0"/>
          <w:marRight w:val="0"/>
          <w:marTop w:val="0"/>
          <w:marBottom w:val="0"/>
          <w:divBdr>
            <w:top w:val="none" w:sz="0" w:space="0" w:color="auto"/>
            <w:left w:val="none" w:sz="0" w:space="0" w:color="auto"/>
            <w:bottom w:val="none" w:sz="0" w:space="0" w:color="auto"/>
            <w:right w:val="none" w:sz="0" w:space="0" w:color="auto"/>
          </w:divBdr>
          <w:divsChild>
            <w:div w:id="591473665">
              <w:marLeft w:val="0"/>
              <w:marRight w:val="0"/>
              <w:marTop w:val="0"/>
              <w:marBottom w:val="0"/>
              <w:divBdr>
                <w:top w:val="none" w:sz="0" w:space="0" w:color="auto"/>
                <w:left w:val="none" w:sz="0" w:space="0" w:color="auto"/>
                <w:bottom w:val="none" w:sz="0" w:space="0" w:color="auto"/>
                <w:right w:val="none" w:sz="0" w:space="0" w:color="auto"/>
              </w:divBdr>
              <w:divsChild>
                <w:div w:id="139658027">
                  <w:marLeft w:val="0"/>
                  <w:marRight w:val="0"/>
                  <w:marTop w:val="0"/>
                  <w:marBottom w:val="0"/>
                  <w:divBdr>
                    <w:top w:val="none" w:sz="0" w:space="0" w:color="auto"/>
                    <w:left w:val="none" w:sz="0" w:space="0" w:color="auto"/>
                    <w:bottom w:val="none" w:sz="0" w:space="0" w:color="auto"/>
                    <w:right w:val="none" w:sz="0" w:space="0" w:color="auto"/>
                  </w:divBdr>
                  <w:divsChild>
                    <w:div w:id="2305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3844">
      <w:bodyDiv w:val="1"/>
      <w:marLeft w:val="0"/>
      <w:marRight w:val="0"/>
      <w:marTop w:val="0"/>
      <w:marBottom w:val="0"/>
      <w:divBdr>
        <w:top w:val="none" w:sz="0" w:space="0" w:color="auto"/>
        <w:left w:val="none" w:sz="0" w:space="0" w:color="auto"/>
        <w:bottom w:val="none" w:sz="0" w:space="0" w:color="auto"/>
        <w:right w:val="none" w:sz="0" w:space="0" w:color="auto"/>
      </w:divBdr>
      <w:divsChild>
        <w:div w:id="695157192">
          <w:marLeft w:val="0"/>
          <w:marRight w:val="0"/>
          <w:marTop w:val="0"/>
          <w:marBottom w:val="0"/>
          <w:divBdr>
            <w:top w:val="none" w:sz="0" w:space="0" w:color="auto"/>
            <w:left w:val="none" w:sz="0" w:space="0" w:color="auto"/>
            <w:bottom w:val="none" w:sz="0" w:space="0" w:color="auto"/>
            <w:right w:val="none" w:sz="0" w:space="0" w:color="auto"/>
          </w:divBdr>
          <w:divsChild>
            <w:div w:id="794254417">
              <w:marLeft w:val="0"/>
              <w:marRight w:val="0"/>
              <w:marTop w:val="0"/>
              <w:marBottom w:val="0"/>
              <w:divBdr>
                <w:top w:val="none" w:sz="0" w:space="0" w:color="auto"/>
                <w:left w:val="none" w:sz="0" w:space="0" w:color="auto"/>
                <w:bottom w:val="none" w:sz="0" w:space="0" w:color="auto"/>
                <w:right w:val="none" w:sz="0" w:space="0" w:color="auto"/>
              </w:divBdr>
              <w:divsChild>
                <w:div w:id="646978510">
                  <w:marLeft w:val="0"/>
                  <w:marRight w:val="0"/>
                  <w:marTop w:val="0"/>
                  <w:marBottom w:val="0"/>
                  <w:divBdr>
                    <w:top w:val="none" w:sz="0" w:space="0" w:color="auto"/>
                    <w:left w:val="none" w:sz="0" w:space="0" w:color="auto"/>
                    <w:bottom w:val="none" w:sz="0" w:space="0" w:color="auto"/>
                    <w:right w:val="none" w:sz="0" w:space="0" w:color="auto"/>
                  </w:divBdr>
                  <w:divsChild>
                    <w:div w:id="33130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5687">
      <w:bodyDiv w:val="1"/>
      <w:marLeft w:val="0"/>
      <w:marRight w:val="0"/>
      <w:marTop w:val="0"/>
      <w:marBottom w:val="0"/>
      <w:divBdr>
        <w:top w:val="none" w:sz="0" w:space="0" w:color="auto"/>
        <w:left w:val="none" w:sz="0" w:space="0" w:color="auto"/>
        <w:bottom w:val="none" w:sz="0" w:space="0" w:color="auto"/>
        <w:right w:val="none" w:sz="0" w:space="0" w:color="auto"/>
      </w:divBdr>
      <w:divsChild>
        <w:div w:id="722482388">
          <w:marLeft w:val="0"/>
          <w:marRight w:val="0"/>
          <w:marTop w:val="0"/>
          <w:marBottom w:val="0"/>
          <w:divBdr>
            <w:top w:val="none" w:sz="0" w:space="0" w:color="auto"/>
            <w:left w:val="none" w:sz="0" w:space="0" w:color="auto"/>
            <w:bottom w:val="none" w:sz="0" w:space="0" w:color="auto"/>
            <w:right w:val="none" w:sz="0" w:space="0" w:color="auto"/>
          </w:divBdr>
          <w:divsChild>
            <w:div w:id="1976251383">
              <w:marLeft w:val="0"/>
              <w:marRight w:val="0"/>
              <w:marTop w:val="0"/>
              <w:marBottom w:val="0"/>
              <w:divBdr>
                <w:top w:val="none" w:sz="0" w:space="0" w:color="auto"/>
                <w:left w:val="none" w:sz="0" w:space="0" w:color="auto"/>
                <w:bottom w:val="none" w:sz="0" w:space="0" w:color="auto"/>
                <w:right w:val="none" w:sz="0" w:space="0" w:color="auto"/>
              </w:divBdr>
              <w:divsChild>
                <w:div w:id="1629706393">
                  <w:marLeft w:val="0"/>
                  <w:marRight w:val="0"/>
                  <w:marTop w:val="0"/>
                  <w:marBottom w:val="0"/>
                  <w:divBdr>
                    <w:top w:val="none" w:sz="0" w:space="0" w:color="auto"/>
                    <w:left w:val="none" w:sz="0" w:space="0" w:color="auto"/>
                    <w:bottom w:val="none" w:sz="0" w:space="0" w:color="auto"/>
                    <w:right w:val="none" w:sz="0" w:space="0" w:color="auto"/>
                  </w:divBdr>
                  <w:divsChild>
                    <w:div w:id="139843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1120">
      <w:bodyDiv w:val="1"/>
      <w:marLeft w:val="0"/>
      <w:marRight w:val="0"/>
      <w:marTop w:val="0"/>
      <w:marBottom w:val="0"/>
      <w:divBdr>
        <w:top w:val="none" w:sz="0" w:space="0" w:color="auto"/>
        <w:left w:val="none" w:sz="0" w:space="0" w:color="auto"/>
        <w:bottom w:val="none" w:sz="0" w:space="0" w:color="auto"/>
        <w:right w:val="none" w:sz="0" w:space="0" w:color="auto"/>
      </w:divBdr>
      <w:divsChild>
        <w:div w:id="909772602">
          <w:marLeft w:val="0"/>
          <w:marRight w:val="0"/>
          <w:marTop w:val="0"/>
          <w:marBottom w:val="0"/>
          <w:divBdr>
            <w:top w:val="none" w:sz="0" w:space="0" w:color="auto"/>
            <w:left w:val="none" w:sz="0" w:space="0" w:color="auto"/>
            <w:bottom w:val="none" w:sz="0" w:space="0" w:color="auto"/>
            <w:right w:val="none" w:sz="0" w:space="0" w:color="auto"/>
          </w:divBdr>
          <w:divsChild>
            <w:div w:id="1630012207">
              <w:marLeft w:val="0"/>
              <w:marRight w:val="0"/>
              <w:marTop w:val="0"/>
              <w:marBottom w:val="0"/>
              <w:divBdr>
                <w:top w:val="none" w:sz="0" w:space="0" w:color="auto"/>
                <w:left w:val="none" w:sz="0" w:space="0" w:color="auto"/>
                <w:bottom w:val="none" w:sz="0" w:space="0" w:color="auto"/>
                <w:right w:val="none" w:sz="0" w:space="0" w:color="auto"/>
              </w:divBdr>
              <w:divsChild>
                <w:div w:id="1916669256">
                  <w:marLeft w:val="0"/>
                  <w:marRight w:val="0"/>
                  <w:marTop w:val="0"/>
                  <w:marBottom w:val="0"/>
                  <w:divBdr>
                    <w:top w:val="none" w:sz="0" w:space="0" w:color="auto"/>
                    <w:left w:val="none" w:sz="0" w:space="0" w:color="auto"/>
                    <w:bottom w:val="none" w:sz="0" w:space="0" w:color="auto"/>
                    <w:right w:val="none" w:sz="0" w:space="0" w:color="auto"/>
                  </w:divBdr>
                  <w:divsChild>
                    <w:div w:id="2001153404">
                      <w:marLeft w:val="0"/>
                      <w:marRight w:val="0"/>
                      <w:marTop w:val="0"/>
                      <w:marBottom w:val="0"/>
                      <w:divBdr>
                        <w:top w:val="none" w:sz="0" w:space="0" w:color="auto"/>
                        <w:left w:val="none" w:sz="0" w:space="0" w:color="auto"/>
                        <w:bottom w:val="none" w:sz="0" w:space="0" w:color="auto"/>
                        <w:right w:val="none" w:sz="0" w:space="0" w:color="auto"/>
                      </w:divBdr>
                    </w:div>
                  </w:divsChild>
                </w:div>
                <w:div w:id="237325539">
                  <w:marLeft w:val="0"/>
                  <w:marRight w:val="0"/>
                  <w:marTop w:val="0"/>
                  <w:marBottom w:val="0"/>
                  <w:divBdr>
                    <w:top w:val="none" w:sz="0" w:space="0" w:color="auto"/>
                    <w:left w:val="none" w:sz="0" w:space="0" w:color="auto"/>
                    <w:bottom w:val="none" w:sz="0" w:space="0" w:color="auto"/>
                    <w:right w:val="none" w:sz="0" w:space="0" w:color="auto"/>
                  </w:divBdr>
                  <w:divsChild>
                    <w:div w:id="2097706883">
                      <w:marLeft w:val="0"/>
                      <w:marRight w:val="0"/>
                      <w:marTop w:val="0"/>
                      <w:marBottom w:val="0"/>
                      <w:divBdr>
                        <w:top w:val="none" w:sz="0" w:space="0" w:color="auto"/>
                        <w:left w:val="none" w:sz="0" w:space="0" w:color="auto"/>
                        <w:bottom w:val="none" w:sz="0" w:space="0" w:color="auto"/>
                        <w:right w:val="none" w:sz="0" w:space="0" w:color="auto"/>
                      </w:divBdr>
                    </w:div>
                  </w:divsChild>
                </w:div>
                <w:div w:id="489172534">
                  <w:marLeft w:val="0"/>
                  <w:marRight w:val="0"/>
                  <w:marTop w:val="0"/>
                  <w:marBottom w:val="0"/>
                  <w:divBdr>
                    <w:top w:val="none" w:sz="0" w:space="0" w:color="auto"/>
                    <w:left w:val="none" w:sz="0" w:space="0" w:color="auto"/>
                    <w:bottom w:val="none" w:sz="0" w:space="0" w:color="auto"/>
                    <w:right w:val="none" w:sz="0" w:space="0" w:color="auto"/>
                  </w:divBdr>
                  <w:divsChild>
                    <w:div w:id="9447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8849">
      <w:bodyDiv w:val="1"/>
      <w:marLeft w:val="0"/>
      <w:marRight w:val="0"/>
      <w:marTop w:val="0"/>
      <w:marBottom w:val="0"/>
      <w:divBdr>
        <w:top w:val="none" w:sz="0" w:space="0" w:color="auto"/>
        <w:left w:val="none" w:sz="0" w:space="0" w:color="auto"/>
        <w:bottom w:val="none" w:sz="0" w:space="0" w:color="auto"/>
        <w:right w:val="none" w:sz="0" w:space="0" w:color="auto"/>
      </w:divBdr>
    </w:div>
    <w:div w:id="1688171979">
      <w:bodyDiv w:val="1"/>
      <w:marLeft w:val="0"/>
      <w:marRight w:val="0"/>
      <w:marTop w:val="0"/>
      <w:marBottom w:val="0"/>
      <w:divBdr>
        <w:top w:val="none" w:sz="0" w:space="0" w:color="auto"/>
        <w:left w:val="none" w:sz="0" w:space="0" w:color="auto"/>
        <w:bottom w:val="none" w:sz="0" w:space="0" w:color="auto"/>
        <w:right w:val="none" w:sz="0" w:space="0" w:color="auto"/>
      </w:divBdr>
      <w:divsChild>
        <w:div w:id="598832175">
          <w:marLeft w:val="0"/>
          <w:marRight w:val="0"/>
          <w:marTop w:val="0"/>
          <w:marBottom w:val="0"/>
          <w:divBdr>
            <w:top w:val="none" w:sz="0" w:space="0" w:color="auto"/>
            <w:left w:val="none" w:sz="0" w:space="0" w:color="auto"/>
            <w:bottom w:val="none" w:sz="0" w:space="0" w:color="auto"/>
            <w:right w:val="none" w:sz="0" w:space="0" w:color="auto"/>
          </w:divBdr>
          <w:divsChild>
            <w:div w:id="1847354773">
              <w:marLeft w:val="0"/>
              <w:marRight w:val="0"/>
              <w:marTop w:val="0"/>
              <w:marBottom w:val="0"/>
              <w:divBdr>
                <w:top w:val="none" w:sz="0" w:space="0" w:color="auto"/>
                <w:left w:val="none" w:sz="0" w:space="0" w:color="auto"/>
                <w:bottom w:val="none" w:sz="0" w:space="0" w:color="auto"/>
                <w:right w:val="none" w:sz="0" w:space="0" w:color="auto"/>
              </w:divBdr>
              <w:divsChild>
                <w:div w:id="2099402938">
                  <w:marLeft w:val="0"/>
                  <w:marRight w:val="0"/>
                  <w:marTop w:val="0"/>
                  <w:marBottom w:val="0"/>
                  <w:divBdr>
                    <w:top w:val="none" w:sz="0" w:space="0" w:color="auto"/>
                    <w:left w:val="none" w:sz="0" w:space="0" w:color="auto"/>
                    <w:bottom w:val="none" w:sz="0" w:space="0" w:color="auto"/>
                    <w:right w:val="none" w:sz="0" w:space="0" w:color="auto"/>
                  </w:divBdr>
                  <w:divsChild>
                    <w:div w:id="18601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4174">
      <w:bodyDiv w:val="1"/>
      <w:marLeft w:val="0"/>
      <w:marRight w:val="0"/>
      <w:marTop w:val="0"/>
      <w:marBottom w:val="0"/>
      <w:divBdr>
        <w:top w:val="none" w:sz="0" w:space="0" w:color="auto"/>
        <w:left w:val="none" w:sz="0" w:space="0" w:color="auto"/>
        <w:bottom w:val="none" w:sz="0" w:space="0" w:color="auto"/>
        <w:right w:val="none" w:sz="0" w:space="0" w:color="auto"/>
      </w:divBdr>
      <w:divsChild>
        <w:div w:id="2099787379">
          <w:marLeft w:val="0"/>
          <w:marRight w:val="0"/>
          <w:marTop w:val="0"/>
          <w:marBottom w:val="0"/>
          <w:divBdr>
            <w:top w:val="none" w:sz="0" w:space="0" w:color="auto"/>
            <w:left w:val="none" w:sz="0" w:space="0" w:color="auto"/>
            <w:bottom w:val="none" w:sz="0" w:space="0" w:color="auto"/>
            <w:right w:val="none" w:sz="0" w:space="0" w:color="auto"/>
          </w:divBdr>
          <w:divsChild>
            <w:div w:id="332536096">
              <w:marLeft w:val="0"/>
              <w:marRight w:val="0"/>
              <w:marTop w:val="0"/>
              <w:marBottom w:val="0"/>
              <w:divBdr>
                <w:top w:val="none" w:sz="0" w:space="0" w:color="auto"/>
                <w:left w:val="none" w:sz="0" w:space="0" w:color="auto"/>
                <w:bottom w:val="none" w:sz="0" w:space="0" w:color="auto"/>
                <w:right w:val="none" w:sz="0" w:space="0" w:color="auto"/>
              </w:divBdr>
              <w:divsChild>
                <w:div w:id="1829396113">
                  <w:marLeft w:val="0"/>
                  <w:marRight w:val="0"/>
                  <w:marTop w:val="0"/>
                  <w:marBottom w:val="0"/>
                  <w:divBdr>
                    <w:top w:val="none" w:sz="0" w:space="0" w:color="auto"/>
                    <w:left w:val="none" w:sz="0" w:space="0" w:color="auto"/>
                    <w:bottom w:val="none" w:sz="0" w:space="0" w:color="auto"/>
                    <w:right w:val="none" w:sz="0" w:space="0" w:color="auto"/>
                  </w:divBdr>
                  <w:divsChild>
                    <w:div w:id="729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90281">
      <w:bodyDiv w:val="1"/>
      <w:marLeft w:val="0"/>
      <w:marRight w:val="0"/>
      <w:marTop w:val="0"/>
      <w:marBottom w:val="0"/>
      <w:divBdr>
        <w:top w:val="none" w:sz="0" w:space="0" w:color="auto"/>
        <w:left w:val="none" w:sz="0" w:space="0" w:color="auto"/>
        <w:bottom w:val="none" w:sz="0" w:space="0" w:color="auto"/>
        <w:right w:val="none" w:sz="0" w:space="0" w:color="auto"/>
      </w:divBdr>
      <w:divsChild>
        <w:div w:id="531185391">
          <w:marLeft w:val="0"/>
          <w:marRight w:val="0"/>
          <w:marTop w:val="0"/>
          <w:marBottom w:val="0"/>
          <w:divBdr>
            <w:top w:val="none" w:sz="0" w:space="0" w:color="auto"/>
            <w:left w:val="none" w:sz="0" w:space="0" w:color="auto"/>
            <w:bottom w:val="none" w:sz="0" w:space="0" w:color="auto"/>
            <w:right w:val="none" w:sz="0" w:space="0" w:color="auto"/>
          </w:divBdr>
          <w:divsChild>
            <w:div w:id="996885593">
              <w:marLeft w:val="0"/>
              <w:marRight w:val="0"/>
              <w:marTop w:val="0"/>
              <w:marBottom w:val="0"/>
              <w:divBdr>
                <w:top w:val="none" w:sz="0" w:space="0" w:color="auto"/>
                <w:left w:val="none" w:sz="0" w:space="0" w:color="auto"/>
                <w:bottom w:val="none" w:sz="0" w:space="0" w:color="auto"/>
                <w:right w:val="none" w:sz="0" w:space="0" w:color="auto"/>
              </w:divBdr>
              <w:divsChild>
                <w:div w:id="1331524404">
                  <w:marLeft w:val="0"/>
                  <w:marRight w:val="0"/>
                  <w:marTop w:val="0"/>
                  <w:marBottom w:val="0"/>
                  <w:divBdr>
                    <w:top w:val="none" w:sz="0" w:space="0" w:color="auto"/>
                    <w:left w:val="none" w:sz="0" w:space="0" w:color="auto"/>
                    <w:bottom w:val="none" w:sz="0" w:space="0" w:color="auto"/>
                    <w:right w:val="none" w:sz="0" w:space="0" w:color="auto"/>
                  </w:divBdr>
                  <w:divsChild>
                    <w:div w:id="19071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3657">
      <w:bodyDiv w:val="1"/>
      <w:marLeft w:val="0"/>
      <w:marRight w:val="0"/>
      <w:marTop w:val="0"/>
      <w:marBottom w:val="0"/>
      <w:divBdr>
        <w:top w:val="none" w:sz="0" w:space="0" w:color="auto"/>
        <w:left w:val="none" w:sz="0" w:space="0" w:color="auto"/>
        <w:bottom w:val="none" w:sz="0" w:space="0" w:color="auto"/>
        <w:right w:val="none" w:sz="0" w:space="0" w:color="auto"/>
      </w:divBdr>
      <w:divsChild>
        <w:div w:id="1600016733">
          <w:marLeft w:val="0"/>
          <w:marRight w:val="0"/>
          <w:marTop w:val="0"/>
          <w:marBottom w:val="0"/>
          <w:divBdr>
            <w:top w:val="none" w:sz="0" w:space="0" w:color="auto"/>
            <w:left w:val="none" w:sz="0" w:space="0" w:color="auto"/>
            <w:bottom w:val="none" w:sz="0" w:space="0" w:color="auto"/>
            <w:right w:val="none" w:sz="0" w:space="0" w:color="auto"/>
          </w:divBdr>
          <w:divsChild>
            <w:div w:id="195892451">
              <w:marLeft w:val="0"/>
              <w:marRight w:val="0"/>
              <w:marTop w:val="0"/>
              <w:marBottom w:val="0"/>
              <w:divBdr>
                <w:top w:val="none" w:sz="0" w:space="0" w:color="auto"/>
                <w:left w:val="none" w:sz="0" w:space="0" w:color="auto"/>
                <w:bottom w:val="none" w:sz="0" w:space="0" w:color="auto"/>
                <w:right w:val="none" w:sz="0" w:space="0" w:color="auto"/>
              </w:divBdr>
              <w:divsChild>
                <w:div w:id="1461608375">
                  <w:marLeft w:val="0"/>
                  <w:marRight w:val="0"/>
                  <w:marTop w:val="0"/>
                  <w:marBottom w:val="0"/>
                  <w:divBdr>
                    <w:top w:val="none" w:sz="0" w:space="0" w:color="auto"/>
                    <w:left w:val="none" w:sz="0" w:space="0" w:color="auto"/>
                    <w:bottom w:val="none" w:sz="0" w:space="0" w:color="auto"/>
                    <w:right w:val="none" w:sz="0" w:space="0" w:color="auto"/>
                  </w:divBdr>
                  <w:divsChild>
                    <w:div w:id="5526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9655">
      <w:bodyDiv w:val="1"/>
      <w:marLeft w:val="0"/>
      <w:marRight w:val="0"/>
      <w:marTop w:val="0"/>
      <w:marBottom w:val="0"/>
      <w:divBdr>
        <w:top w:val="none" w:sz="0" w:space="0" w:color="auto"/>
        <w:left w:val="none" w:sz="0" w:space="0" w:color="auto"/>
        <w:bottom w:val="none" w:sz="0" w:space="0" w:color="auto"/>
        <w:right w:val="none" w:sz="0" w:space="0" w:color="auto"/>
      </w:divBdr>
      <w:divsChild>
        <w:div w:id="829560112">
          <w:marLeft w:val="0"/>
          <w:marRight w:val="0"/>
          <w:marTop w:val="0"/>
          <w:marBottom w:val="0"/>
          <w:divBdr>
            <w:top w:val="none" w:sz="0" w:space="0" w:color="auto"/>
            <w:left w:val="none" w:sz="0" w:space="0" w:color="auto"/>
            <w:bottom w:val="none" w:sz="0" w:space="0" w:color="auto"/>
            <w:right w:val="none" w:sz="0" w:space="0" w:color="auto"/>
          </w:divBdr>
          <w:divsChild>
            <w:div w:id="1842698671">
              <w:marLeft w:val="0"/>
              <w:marRight w:val="0"/>
              <w:marTop w:val="0"/>
              <w:marBottom w:val="0"/>
              <w:divBdr>
                <w:top w:val="none" w:sz="0" w:space="0" w:color="auto"/>
                <w:left w:val="none" w:sz="0" w:space="0" w:color="auto"/>
                <w:bottom w:val="none" w:sz="0" w:space="0" w:color="auto"/>
                <w:right w:val="none" w:sz="0" w:space="0" w:color="auto"/>
              </w:divBdr>
              <w:divsChild>
                <w:div w:id="1936405153">
                  <w:marLeft w:val="0"/>
                  <w:marRight w:val="0"/>
                  <w:marTop w:val="0"/>
                  <w:marBottom w:val="0"/>
                  <w:divBdr>
                    <w:top w:val="none" w:sz="0" w:space="0" w:color="auto"/>
                    <w:left w:val="none" w:sz="0" w:space="0" w:color="auto"/>
                    <w:bottom w:val="none" w:sz="0" w:space="0" w:color="auto"/>
                    <w:right w:val="none" w:sz="0" w:space="0" w:color="auto"/>
                  </w:divBdr>
                  <w:divsChild>
                    <w:div w:id="3694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40192">
      <w:bodyDiv w:val="1"/>
      <w:marLeft w:val="0"/>
      <w:marRight w:val="0"/>
      <w:marTop w:val="0"/>
      <w:marBottom w:val="0"/>
      <w:divBdr>
        <w:top w:val="none" w:sz="0" w:space="0" w:color="auto"/>
        <w:left w:val="none" w:sz="0" w:space="0" w:color="auto"/>
        <w:bottom w:val="none" w:sz="0" w:space="0" w:color="auto"/>
        <w:right w:val="none" w:sz="0" w:space="0" w:color="auto"/>
      </w:divBdr>
      <w:divsChild>
        <w:div w:id="111945110">
          <w:marLeft w:val="0"/>
          <w:marRight w:val="0"/>
          <w:marTop w:val="0"/>
          <w:marBottom w:val="0"/>
          <w:divBdr>
            <w:top w:val="none" w:sz="0" w:space="0" w:color="auto"/>
            <w:left w:val="none" w:sz="0" w:space="0" w:color="auto"/>
            <w:bottom w:val="none" w:sz="0" w:space="0" w:color="auto"/>
            <w:right w:val="none" w:sz="0" w:space="0" w:color="auto"/>
          </w:divBdr>
          <w:divsChild>
            <w:div w:id="1064446285">
              <w:marLeft w:val="0"/>
              <w:marRight w:val="0"/>
              <w:marTop w:val="0"/>
              <w:marBottom w:val="0"/>
              <w:divBdr>
                <w:top w:val="none" w:sz="0" w:space="0" w:color="auto"/>
                <w:left w:val="none" w:sz="0" w:space="0" w:color="auto"/>
                <w:bottom w:val="none" w:sz="0" w:space="0" w:color="auto"/>
                <w:right w:val="none" w:sz="0" w:space="0" w:color="auto"/>
              </w:divBdr>
              <w:divsChild>
                <w:div w:id="823665071">
                  <w:marLeft w:val="0"/>
                  <w:marRight w:val="0"/>
                  <w:marTop w:val="0"/>
                  <w:marBottom w:val="0"/>
                  <w:divBdr>
                    <w:top w:val="none" w:sz="0" w:space="0" w:color="auto"/>
                    <w:left w:val="none" w:sz="0" w:space="0" w:color="auto"/>
                    <w:bottom w:val="none" w:sz="0" w:space="0" w:color="auto"/>
                    <w:right w:val="none" w:sz="0" w:space="0" w:color="auto"/>
                  </w:divBdr>
                  <w:divsChild>
                    <w:div w:id="184524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witter.com/WWDA_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WWDA.Austral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wda.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admin@wwda.org.au" TargetMode="External"/><Relationship Id="rId4" Type="http://schemas.openxmlformats.org/officeDocument/2006/relationships/settings" Target="settings.xml"/><Relationship Id="rId9" Type="http://schemas.openxmlformats.org/officeDocument/2006/relationships/hyperlink" Target="mailto:carolyn@wwda.org.au" TargetMode="External"/><Relationship Id="rId14" Type="http://schemas.openxmlformats.org/officeDocument/2006/relationships/hyperlink" Target="http://www.wwda.org.au/"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da.org.au/issues/sterilise/sterilise2011/sterilwma2011/" TargetMode="External"/><Relationship Id="rId1" Type="http://schemas.openxmlformats.org/officeDocument/2006/relationships/hyperlink" Target="http://wwda.org.au/wp-content/uploads/2013/12/FIGOGuidelines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7A61-D62C-DB4B-ADC1-9652F8FD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Cusworth | Women With Disabilities Australia</dc:creator>
  <cp:keywords/>
  <dc:description/>
  <cp:lastModifiedBy>Sophie Cusworth | Women With Disabilities Australia</cp:lastModifiedBy>
  <cp:revision>2</cp:revision>
  <dcterms:created xsi:type="dcterms:W3CDTF">2023-08-03T05:25:00Z</dcterms:created>
  <dcterms:modified xsi:type="dcterms:W3CDTF">2023-08-03T05:25:00Z</dcterms:modified>
</cp:coreProperties>
</file>